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DC" w:rsidRPr="0098104D" w:rsidRDefault="00D30D3B" w:rsidP="00E858DC">
      <w:pPr>
        <w:spacing w:before="100" w:beforeAutospacing="1" w:after="100" w:afterAutospacing="1" w:line="240" w:lineRule="auto"/>
        <w:jc w:val="right"/>
        <w:rPr>
          <w:rFonts w:ascii="Arial" w:hAnsi="Arial" w:cs="Arial"/>
          <w:sz w:val="24"/>
        </w:rPr>
      </w:pPr>
      <w:r w:rsidRPr="0098104D">
        <w:rPr>
          <w:rFonts w:ascii="Arial" w:hAnsi="Arial" w:cs="Arial"/>
          <w:sz w:val="24"/>
        </w:rPr>
        <w:t>Mérida, Yucatán, a 1</w:t>
      </w:r>
      <w:r w:rsidR="00134A61" w:rsidRPr="0098104D">
        <w:rPr>
          <w:rFonts w:ascii="Arial" w:hAnsi="Arial" w:cs="Arial"/>
          <w:sz w:val="24"/>
        </w:rPr>
        <w:t xml:space="preserve"> </w:t>
      </w:r>
      <w:r w:rsidR="00E858DC" w:rsidRPr="0098104D">
        <w:rPr>
          <w:rFonts w:ascii="Arial" w:hAnsi="Arial" w:cs="Arial"/>
          <w:sz w:val="24"/>
        </w:rPr>
        <w:t xml:space="preserve">de </w:t>
      </w:r>
      <w:r w:rsidRPr="0098104D">
        <w:rPr>
          <w:rFonts w:ascii="Arial" w:hAnsi="Arial" w:cs="Arial"/>
          <w:sz w:val="24"/>
        </w:rPr>
        <w:t xml:space="preserve">julio </w:t>
      </w:r>
      <w:r w:rsidR="00E858DC" w:rsidRPr="0098104D">
        <w:rPr>
          <w:rFonts w:ascii="Arial" w:hAnsi="Arial" w:cs="Arial"/>
          <w:sz w:val="24"/>
        </w:rPr>
        <w:t>de 2019</w:t>
      </w:r>
    </w:p>
    <w:p w:rsidR="00E858DC" w:rsidRPr="0098104D" w:rsidRDefault="00E858DC" w:rsidP="00E858DC">
      <w:pPr>
        <w:spacing w:before="100" w:beforeAutospacing="1" w:after="100" w:afterAutospacing="1" w:line="240" w:lineRule="auto"/>
        <w:jc w:val="both"/>
        <w:rPr>
          <w:rFonts w:ascii="Arial" w:hAnsi="Arial" w:cs="Arial"/>
          <w:b/>
          <w:sz w:val="24"/>
        </w:rPr>
      </w:pPr>
      <w:r w:rsidRPr="0098104D">
        <w:rPr>
          <w:rFonts w:ascii="Arial" w:hAnsi="Arial" w:cs="Arial"/>
          <w:b/>
          <w:sz w:val="24"/>
        </w:rPr>
        <w:t>H. Congreso del Estado de Yucatán:</w:t>
      </w:r>
    </w:p>
    <w:p w:rsidR="00E858DC" w:rsidRPr="0098104D" w:rsidRDefault="00E858DC" w:rsidP="00F71E25">
      <w:pPr>
        <w:spacing w:before="100" w:beforeAutospacing="1" w:after="100" w:afterAutospacing="1" w:line="240" w:lineRule="auto"/>
        <w:jc w:val="both"/>
        <w:rPr>
          <w:rFonts w:ascii="Arial" w:hAnsi="Arial" w:cs="Arial"/>
          <w:b/>
          <w:sz w:val="24"/>
        </w:rPr>
      </w:pPr>
      <w:r w:rsidRPr="0098104D">
        <w:rPr>
          <w:rFonts w:ascii="Arial" w:hAnsi="Arial" w:cs="Arial"/>
          <w:b/>
          <w:sz w:val="24"/>
        </w:rPr>
        <w:t xml:space="preserve">Iniciativa de Decreto por el que se autoriza al Poder Ejecutivo del Estado de Yucatán </w:t>
      </w:r>
      <w:r w:rsidR="00F71E25" w:rsidRPr="0098104D">
        <w:rPr>
          <w:rFonts w:ascii="Arial" w:hAnsi="Arial" w:cs="Arial"/>
          <w:b/>
          <w:sz w:val="24"/>
        </w:rPr>
        <w:t>para contratar empréstitos que se destinarán a inversiones públi</w:t>
      </w:r>
      <w:r w:rsidR="00BC35D2" w:rsidRPr="0098104D">
        <w:rPr>
          <w:rFonts w:ascii="Arial" w:hAnsi="Arial" w:cs="Arial"/>
          <w:b/>
          <w:sz w:val="24"/>
        </w:rPr>
        <w:t>cas productivas cuyo objetivo será</w:t>
      </w:r>
      <w:r w:rsidR="00F71E25" w:rsidRPr="0098104D">
        <w:rPr>
          <w:rFonts w:ascii="Arial" w:hAnsi="Arial" w:cs="Arial"/>
          <w:b/>
          <w:sz w:val="24"/>
        </w:rPr>
        <w:t xml:space="preserve"> la implementación del Sistema Integral de S</w:t>
      </w:r>
      <w:r w:rsidR="00A65DDB" w:rsidRPr="0098104D">
        <w:rPr>
          <w:rFonts w:ascii="Arial" w:hAnsi="Arial" w:cs="Arial"/>
          <w:b/>
          <w:sz w:val="24"/>
        </w:rPr>
        <w:t xml:space="preserve">eguridad Electrónica denominado </w:t>
      </w:r>
      <w:r w:rsidR="00F71E25" w:rsidRPr="0098104D">
        <w:rPr>
          <w:rFonts w:ascii="Arial" w:hAnsi="Arial" w:cs="Arial"/>
          <w:b/>
          <w:sz w:val="24"/>
        </w:rPr>
        <w:t xml:space="preserve">“Fortalecimiento Tecnológico de Seguridad y Monitoreo, Yucatán Seguro”, y para </w:t>
      </w:r>
      <w:r w:rsidRPr="0098104D">
        <w:rPr>
          <w:rFonts w:ascii="Arial" w:hAnsi="Arial" w:cs="Arial"/>
          <w:b/>
          <w:sz w:val="24"/>
        </w:rPr>
        <w:t xml:space="preserve">afectar ingresos y derechos correspondientes al Fondo General de </w:t>
      </w:r>
      <w:r w:rsidR="009D5D82" w:rsidRPr="0098104D">
        <w:rPr>
          <w:rFonts w:ascii="Arial" w:hAnsi="Arial" w:cs="Arial"/>
          <w:b/>
          <w:sz w:val="24"/>
        </w:rPr>
        <w:t>Participaciones</w:t>
      </w:r>
      <w:r w:rsidR="00BC35D2" w:rsidRPr="0098104D">
        <w:rPr>
          <w:rFonts w:ascii="Arial" w:hAnsi="Arial" w:cs="Arial"/>
          <w:b/>
          <w:sz w:val="24"/>
        </w:rPr>
        <w:t xml:space="preserve">, como </w:t>
      </w:r>
      <w:r w:rsidRPr="0098104D">
        <w:rPr>
          <w:rFonts w:ascii="Arial" w:hAnsi="Arial" w:cs="Arial"/>
          <w:b/>
          <w:sz w:val="24"/>
        </w:rPr>
        <w:t xml:space="preserve">fuente de pago de la operación de </w:t>
      </w:r>
      <w:r w:rsidR="00F71E25" w:rsidRPr="0098104D">
        <w:rPr>
          <w:rFonts w:ascii="Arial" w:hAnsi="Arial" w:cs="Arial"/>
          <w:b/>
          <w:sz w:val="24"/>
        </w:rPr>
        <w:t>financiamiento</w:t>
      </w:r>
      <w:r w:rsidR="00BE2FB5" w:rsidRPr="0098104D">
        <w:rPr>
          <w:rFonts w:ascii="Arial" w:hAnsi="Arial" w:cs="Arial"/>
          <w:b/>
          <w:sz w:val="24"/>
        </w:rPr>
        <w:t>; y se modifica la Ley de Ingresos del Estado de Yucatán para el Ejercicio Fiscal 2019</w:t>
      </w:r>
    </w:p>
    <w:p w:rsidR="00E858DC" w:rsidRPr="0098104D" w:rsidRDefault="00E858DC" w:rsidP="00E858DC">
      <w:pPr>
        <w:spacing w:before="100" w:beforeAutospacing="1" w:after="100" w:afterAutospacing="1" w:line="240" w:lineRule="auto"/>
        <w:jc w:val="center"/>
        <w:rPr>
          <w:rFonts w:ascii="Arial" w:hAnsi="Arial" w:cs="Arial"/>
          <w:b/>
          <w:sz w:val="24"/>
        </w:rPr>
      </w:pPr>
      <w:r w:rsidRPr="0098104D">
        <w:rPr>
          <w:rFonts w:ascii="Arial" w:hAnsi="Arial" w:cs="Arial"/>
          <w:b/>
          <w:sz w:val="24"/>
        </w:rPr>
        <w:t>Exposición de motivos</w:t>
      </w:r>
    </w:p>
    <w:p w:rsidR="00A65DDB" w:rsidRPr="0098104D" w:rsidRDefault="00A65DDB" w:rsidP="006C2ED6">
      <w:pPr>
        <w:spacing w:before="100" w:beforeAutospacing="1" w:after="100" w:afterAutospacing="1" w:line="240" w:lineRule="auto"/>
        <w:jc w:val="both"/>
        <w:rPr>
          <w:rFonts w:ascii="Arial" w:hAnsi="Arial" w:cs="Arial"/>
          <w:b/>
          <w:i/>
          <w:sz w:val="24"/>
        </w:rPr>
      </w:pPr>
      <w:r w:rsidRPr="0098104D">
        <w:rPr>
          <w:rFonts w:ascii="Arial" w:hAnsi="Arial" w:cs="Arial"/>
          <w:b/>
          <w:i/>
          <w:sz w:val="24"/>
        </w:rPr>
        <w:t>Introducción</w:t>
      </w:r>
    </w:p>
    <w:p w:rsidR="006C2ED6" w:rsidRPr="0098104D" w:rsidRDefault="00D30D3B" w:rsidP="006C2ED6">
      <w:pPr>
        <w:spacing w:before="100" w:beforeAutospacing="1" w:after="100" w:afterAutospacing="1" w:line="240" w:lineRule="auto"/>
        <w:jc w:val="both"/>
        <w:rPr>
          <w:rFonts w:ascii="Arial" w:hAnsi="Arial" w:cs="Arial"/>
          <w:sz w:val="24"/>
        </w:rPr>
      </w:pPr>
      <w:r w:rsidRPr="0098104D">
        <w:rPr>
          <w:rFonts w:ascii="Arial" w:hAnsi="Arial" w:cs="Arial"/>
          <w:sz w:val="24"/>
        </w:rPr>
        <w:t>La seguridad ha sido u</w:t>
      </w:r>
      <w:r w:rsidR="006C2ED6" w:rsidRPr="0098104D">
        <w:rPr>
          <w:rFonts w:ascii="Arial" w:hAnsi="Arial" w:cs="Arial"/>
          <w:sz w:val="24"/>
        </w:rPr>
        <w:t>no de los factores más importantes que ha</w:t>
      </w:r>
      <w:r w:rsidRPr="0098104D">
        <w:rPr>
          <w:rFonts w:ascii="Arial" w:hAnsi="Arial" w:cs="Arial"/>
          <w:sz w:val="24"/>
        </w:rPr>
        <w:t>n</w:t>
      </w:r>
      <w:r w:rsidR="006C2ED6" w:rsidRPr="0098104D">
        <w:rPr>
          <w:rFonts w:ascii="Arial" w:hAnsi="Arial" w:cs="Arial"/>
          <w:sz w:val="24"/>
        </w:rPr>
        <w:t xml:space="preserve"> permitido el crecimiento y desarrollo de Yucatán en los últimos años</w:t>
      </w:r>
      <w:r w:rsidRPr="0098104D">
        <w:rPr>
          <w:rFonts w:ascii="Arial" w:hAnsi="Arial" w:cs="Arial"/>
          <w:sz w:val="24"/>
        </w:rPr>
        <w:t>.</w:t>
      </w:r>
    </w:p>
    <w:p w:rsidR="00D415E5" w:rsidRPr="0098104D" w:rsidRDefault="00D30D3B" w:rsidP="006C2ED6">
      <w:pPr>
        <w:spacing w:before="100" w:beforeAutospacing="1" w:after="100" w:afterAutospacing="1" w:line="240" w:lineRule="auto"/>
        <w:jc w:val="both"/>
        <w:rPr>
          <w:rFonts w:ascii="Arial" w:hAnsi="Arial" w:cs="Arial"/>
          <w:sz w:val="24"/>
        </w:rPr>
      </w:pPr>
      <w:r w:rsidRPr="0098104D">
        <w:rPr>
          <w:rFonts w:ascii="Arial" w:hAnsi="Arial" w:cs="Arial"/>
          <w:sz w:val="24"/>
        </w:rPr>
        <w:t>En 2019,</w:t>
      </w:r>
      <w:r w:rsidR="00D415E5" w:rsidRPr="0098104D">
        <w:rPr>
          <w:rFonts w:ascii="Arial" w:hAnsi="Arial" w:cs="Arial"/>
          <w:sz w:val="24"/>
        </w:rPr>
        <w:t xml:space="preserve"> México ocupó, de los ciento sesenta y tres países analizados, con una calificación de 2.600 puntos, el lugar número ciento cuarenta en el Índice de Paz Global elaborado por el Instituto para la Economía y la Paz. De esta forma, el estado de paz del país fue catalogado como “bajo”.</w:t>
      </w:r>
    </w:p>
    <w:p w:rsidR="00D415E5" w:rsidRPr="0098104D" w:rsidRDefault="00D415E5" w:rsidP="006C2ED6">
      <w:pPr>
        <w:spacing w:before="100" w:beforeAutospacing="1" w:after="100" w:afterAutospacing="1" w:line="240" w:lineRule="auto"/>
        <w:jc w:val="both"/>
        <w:rPr>
          <w:rFonts w:ascii="Arial" w:hAnsi="Arial" w:cs="Arial"/>
          <w:sz w:val="24"/>
        </w:rPr>
      </w:pPr>
      <w:r w:rsidRPr="0098104D">
        <w:rPr>
          <w:rFonts w:ascii="Arial" w:hAnsi="Arial" w:cs="Arial"/>
          <w:sz w:val="24"/>
        </w:rPr>
        <w:t xml:space="preserve">No obstante, en este mismo año, Yucatán, con una calificación de 1.066 puntos, no solo ocupó el primer lugar </w:t>
      </w:r>
      <w:r w:rsidR="00F3399E" w:rsidRPr="0098104D">
        <w:rPr>
          <w:rFonts w:ascii="Arial" w:hAnsi="Arial" w:cs="Arial"/>
          <w:sz w:val="24"/>
        </w:rPr>
        <w:t>de México</w:t>
      </w:r>
      <w:r w:rsidRPr="0098104D">
        <w:rPr>
          <w:rFonts w:ascii="Arial" w:hAnsi="Arial" w:cs="Arial"/>
          <w:sz w:val="24"/>
        </w:rPr>
        <w:t xml:space="preserve"> en </w:t>
      </w:r>
      <w:r w:rsidR="00D77C95" w:rsidRPr="0098104D">
        <w:rPr>
          <w:rFonts w:ascii="Arial" w:hAnsi="Arial" w:cs="Arial"/>
          <w:sz w:val="24"/>
        </w:rPr>
        <w:t>el índice de paz referido</w:t>
      </w:r>
      <w:r w:rsidRPr="0098104D">
        <w:rPr>
          <w:rFonts w:ascii="Arial" w:hAnsi="Arial" w:cs="Arial"/>
          <w:sz w:val="24"/>
        </w:rPr>
        <w:t xml:space="preserve"> sino que, con </w:t>
      </w:r>
      <w:r w:rsidR="00D77C95" w:rsidRPr="0098104D">
        <w:rPr>
          <w:rFonts w:ascii="Arial" w:hAnsi="Arial" w:cs="Arial"/>
          <w:sz w:val="24"/>
        </w:rPr>
        <w:t>la</w:t>
      </w:r>
      <w:r w:rsidRPr="0098104D">
        <w:rPr>
          <w:rFonts w:ascii="Arial" w:hAnsi="Arial" w:cs="Arial"/>
          <w:sz w:val="24"/>
        </w:rPr>
        <w:t xml:space="preserve"> calificación</w:t>
      </w:r>
      <w:r w:rsidR="00D77C95" w:rsidRPr="0098104D">
        <w:rPr>
          <w:rFonts w:ascii="Arial" w:hAnsi="Arial" w:cs="Arial"/>
          <w:sz w:val="24"/>
        </w:rPr>
        <w:t xml:space="preserve"> que obtuvo</w:t>
      </w:r>
      <w:r w:rsidRPr="0098104D">
        <w:rPr>
          <w:rFonts w:ascii="Arial" w:hAnsi="Arial" w:cs="Arial"/>
          <w:sz w:val="24"/>
        </w:rPr>
        <w:t>, superó a países</w:t>
      </w:r>
      <w:r w:rsidR="00D77C95" w:rsidRPr="0098104D">
        <w:rPr>
          <w:rFonts w:ascii="Arial" w:hAnsi="Arial" w:cs="Arial"/>
          <w:sz w:val="24"/>
        </w:rPr>
        <w:t xml:space="preserve"> mundialmente conocidos por sus buenas condiciones de seguridad como Islandia (1.072), Nueva Zelanda (1.221), Portugal (1.274), Austria (1.291) y Dinamarca (1.316).</w:t>
      </w:r>
    </w:p>
    <w:p w:rsidR="00687A31" w:rsidRPr="0098104D" w:rsidRDefault="00687A31" w:rsidP="006C2ED6">
      <w:pPr>
        <w:spacing w:before="100" w:beforeAutospacing="1" w:after="100" w:afterAutospacing="1" w:line="240" w:lineRule="auto"/>
        <w:jc w:val="both"/>
        <w:rPr>
          <w:rFonts w:ascii="Arial" w:hAnsi="Arial" w:cs="Arial"/>
          <w:sz w:val="24"/>
        </w:rPr>
      </w:pPr>
      <w:r w:rsidRPr="0098104D">
        <w:rPr>
          <w:rFonts w:ascii="Arial" w:hAnsi="Arial" w:cs="Arial"/>
          <w:sz w:val="24"/>
        </w:rPr>
        <w:t xml:space="preserve">Así, la paz que se vive en Yucatán ha permitido el crecimiento económico, </w:t>
      </w:r>
      <w:r w:rsidR="00042F83" w:rsidRPr="0098104D">
        <w:rPr>
          <w:rFonts w:ascii="Arial" w:hAnsi="Arial" w:cs="Arial"/>
          <w:sz w:val="24"/>
        </w:rPr>
        <w:t>resultado, entre otros factores,</w:t>
      </w:r>
      <w:r w:rsidRPr="0098104D">
        <w:rPr>
          <w:rFonts w:ascii="Arial" w:hAnsi="Arial" w:cs="Arial"/>
          <w:sz w:val="24"/>
        </w:rPr>
        <w:t xml:space="preserve"> de las inversiones privadas, nacionales y extranjeras,</w:t>
      </w:r>
      <w:r w:rsidR="00042F83" w:rsidRPr="0098104D">
        <w:rPr>
          <w:rFonts w:ascii="Arial" w:hAnsi="Arial" w:cs="Arial"/>
          <w:sz w:val="24"/>
        </w:rPr>
        <w:t xml:space="preserve"> </w:t>
      </w:r>
      <w:r w:rsidRPr="0098104D">
        <w:rPr>
          <w:rFonts w:ascii="Arial" w:hAnsi="Arial" w:cs="Arial"/>
          <w:sz w:val="24"/>
        </w:rPr>
        <w:t>que</w:t>
      </w:r>
      <w:r w:rsidR="00042F83" w:rsidRPr="0098104D">
        <w:rPr>
          <w:rFonts w:ascii="Arial" w:hAnsi="Arial" w:cs="Arial"/>
          <w:sz w:val="24"/>
        </w:rPr>
        <w:t xml:space="preserve"> han generado miles de empleos; y del turismo que, motivado por la seguridad del estado, nos visita y, con ello, genera una importante derrama económica para la entidad.</w:t>
      </w:r>
    </w:p>
    <w:p w:rsidR="002D6C7E" w:rsidRPr="0098104D" w:rsidRDefault="002D6C7E" w:rsidP="0087096F">
      <w:pPr>
        <w:spacing w:before="100" w:beforeAutospacing="1" w:after="100" w:afterAutospacing="1" w:line="240" w:lineRule="auto"/>
        <w:jc w:val="both"/>
        <w:rPr>
          <w:rFonts w:ascii="Arial" w:hAnsi="Arial" w:cs="Arial"/>
          <w:sz w:val="24"/>
        </w:rPr>
      </w:pPr>
      <w:r w:rsidRPr="0098104D">
        <w:rPr>
          <w:rFonts w:ascii="Arial" w:hAnsi="Arial" w:cs="Arial"/>
          <w:sz w:val="24"/>
        </w:rPr>
        <w:t>Pero no solo eso: la paz que s</w:t>
      </w:r>
      <w:r w:rsidR="00DF1B28" w:rsidRPr="0098104D">
        <w:rPr>
          <w:rFonts w:ascii="Arial" w:hAnsi="Arial" w:cs="Arial"/>
          <w:sz w:val="24"/>
        </w:rPr>
        <w:t xml:space="preserve">e vive en Yucatán ha permitido </w:t>
      </w:r>
      <w:r w:rsidRPr="0098104D">
        <w:rPr>
          <w:rFonts w:ascii="Arial" w:hAnsi="Arial" w:cs="Arial"/>
          <w:sz w:val="24"/>
        </w:rPr>
        <w:t>el ejercicio de una vida libre, que es</w:t>
      </w:r>
      <w:r w:rsidR="00DF1B28" w:rsidRPr="0098104D">
        <w:rPr>
          <w:rFonts w:ascii="Arial" w:hAnsi="Arial" w:cs="Arial"/>
          <w:sz w:val="24"/>
        </w:rPr>
        <w:t xml:space="preserve"> una de las condiciones básicas para </w:t>
      </w:r>
      <w:r w:rsidR="00977C6F" w:rsidRPr="0098104D">
        <w:rPr>
          <w:rFonts w:ascii="Arial" w:hAnsi="Arial" w:cs="Arial"/>
          <w:sz w:val="24"/>
        </w:rPr>
        <w:t>el bienestar y la prosperidad</w:t>
      </w:r>
      <w:r w:rsidR="00DF1B28" w:rsidRPr="0098104D">
        <w:rPr>
          <w:rFonts w:ascii="Arial" w:hAnsi="Arial" w:cs="Arial"/>
          <w:sz w:val="24"/>
        </w:rPr>
        <w:t>, fines del Estado y por los cuales todos debemos trabajar.</w:t>
      </w:r>
    </w:p>
    <w:p w:rsidR="00DF1B28" w:rsidRPr="0098104D" w:rsidRDefault="00BE6414" w:rsidP="006C2ED6">
      <w:pPr>
        <w:spacing w:before="100" w:beforeAutospacing="1" w:after="100" w:afterAutospacing="1" w:line="240" w:lineRule="auto"/>
        <w:jc w:val="both"/>
        <w:rPr>
          <w:rFonts w:ascii="Arial" w:hAnsi="Arial" w:cs="Arial"/>
          <w:sz w:val="24"/>
        </w:rPr>
      </w:pPr>
      <w:r w:rsidRPr="0098104D">
        <w:rPr>
          <w:rFonts w:ascii="Arial" w:hAnsi="Arial" w:cs="Arial"/>
          <w:sz w:val="24"/>
        </w:rPr>
        <w:lastRenderedPageBreak/>
        <w:t>En este sentido, la Constitución Política de los Estados Unidos Mexicanos, en términos de su artículo 21, párrafo noveno, dispone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de la paz social.</w:t>
      </w:r>
    </w:p>
    <w:p w:rsidR="00BE6414" w:rsidRPr="0098104D" w:rsidRDefault="00BE6414" w:rsidP="006C2ED6">
      <w:pPr>
        <w:spacing w:before="100" w:beforeAutospacing="1" w:after="100" w:afterAutospacing="1" w:line="240" w:lineRule="auto"/>
        <w:jc w:val="both"/>
        <w:rPr>
          <w:rFonts w:ascii="Arial" w:hAnsi="Arial" w:cs="Arial"/>
          <w:sz w:val="24"/>
        </w:rPr>
      </w:pPr>
      <w:r w:rsidRPr="0098104D">
        <w:rPr>
          <w:rFonts w:ascii="Arial" w:hAnsi="Arial" w:cs="Arial"/>
          <w:sz w:val="24"/>
        </w:rPr>
        <w:t>La seguridad que disfrutamos en Yucatán</w:t>
      </w:r>
      <w:r w:rsidR="002D75C0" w:rsidRPr="0098104D">
        <w:rPr>
          <w:rFonts w:ascii="Arial" w:hAnsi="Arial" w:cs="Arial"/>
          <w:sz w:val="24"/>
        </w:rPr>
        <w:t>,</w:t>
      </w:r>
      <w:r w:rsidRPr="0098104D">
        <w:rPr>
          <w:rFonts w:ascii="Arial" w:hAnsi="Arial" w:cs="Arial"/>
          <w:sz w:val="24"/>
        </w:rPr>
        <w:t xml:space="preserve"> y de la que todos nos enorgullecemos</w:t>
      </w:r>
      <w:r w:rsidR="002D75C0" w:rsidRPr="0098104D">
        <w:rPr>
          <w:rFonts w:ascii="Arial" w:hAnsi="Arial" w:cs="Arial"/>
          <w:sz w:val="24"/>
        </w:rPr>
        <w:t>,</w:t>
      </w:r>
      <w:r w:rsidRPr="0098104D">
        <w:rPr>
          <w:rFonts w:ascii="Arial" w:hAnsi="Arial" w:cs="Arial"/>
          <w:sz w:val="24"/>
        </w:rPr>
        <w:t xml:space="preserve"> ha sido resultado de muchos años de </w:t>
      </w:r>
      <w:r w:rsidR="002D75C0" w:rsidRPr="0098104D">
        <w:rPr>
          <w:rFonts w:ascii="Arial" w:hAnsi="Arial" w:cs="Arial"/>
          <w:sz w:val="24"/>
        </w:rPr>
        <w:t xml:space="preserve">trabajo </w:t>
      </w:r>
      <w:r w:rsidRPr="0098104D">
        <w:rPr>
          <w:rFonts w:ascii="Arial" w:hAnsi="Arial" w:cs="Arial"/>
          <w:sz w:val="24"/>
        </w:rPr>
        <w:t>entre sociedad y gobierno</w:t>
      </w:r>
      <w:r w:rsidR="002D75C0" w:rsidRPr="0098104D">
        <w:rPr>
          <w:rFonts w:ascii="Arial" w:hAnsi="Arial" w:cs="Arial"/>
          <w:sz w:val="24"/>
        </w:rPr>
        <w:t>. Así, la sociedad ha contribuido a la seguridad del estado mediante la prevención y la denuncia de los delitos. Por su parte, el gobierno ha fortalecido las capacidades institucionales en materia de seguridad, a partir de la actualización del marco jurídico, del mejoramiento de los cuerpos policiales, de la construcción de infraestructura y de la adquisición de equipo tecnológico.</w:t>
      </w:r>
    </w:p>
    <w:p w:rsidR="00BE6414" w:rsidRPr="0098104D" w:rsidRDefault="002D75C0" w:rsidP="006C2ED6">
      <w:pPr>
        <w:spacing w:before="100" w:beforeAutospacing="1" w:after="100" w:afterAutospacing="1" w:line="240" w:lineRule="auto"/>
        <w:jc w:val="both"/>
        <w:rPr>
          <w:rFonts w:ascii="Arial" w:hAnsi="Arial" w:cs="Arial"/>
          <w:sz w:val="24"/>
        </w:rPr>
      </w:pPr>
      <w:r w:rsidRPr="0098104D">
        <w:rPr>
          <w:rFonts w:ascii="Arial" w:hAnsi="Arial" w:cs="Arial"/>
          <w:sz w:val="24"/>
        </w:rPr>
        <w:t>Como resultado de lo anterior, la delincuencia</w:t>
      </w:r>
      <w:r w:rsidR="00950B65" w:rsidRPr="0098104D">
        <w:rPr>
          <w:rFonts w:ascii="Arial" w:hAnsi="Arial" w:cs="Arial"/>
          <w:sz w:val="24"/>
        </w:rPr>
        <w:t>, si bien, por supuesto, existe,</w:t>
      </w:r>
      <w:r w:rsidRPr="0098104D">
        <w:rPr>
          <w:rFonts w:ascii="Arial" w:hAnsi="Arial" w:cs="Arial"/>
          <w:sz w:val="24"/>
        </w:rPr>
        <w:t xml:space="preserve"> no ha logrado</w:t>
      </w:r>
      <w:r w:rsidR="00950B65" w:rsidRPr="0098104D">
        <w:rPr>
          <w:rFonts w:ascii="Arial" w:hAnsi="Arial" w:cs="Arial"/>
          <w:sz w:val="24"/>
        </w:rPr>
        <w:t xml:space="preserve"> impactar considerablemente en la vida del estado. Sin embargo, sabemos que la delincuencia no descansa y que, a la par de los avances en seguridad, se va modernizando día con día en </w:t>
      </w:r>
      <w:r w:rsidR="004607AE" w:rsidRPr="0098104D">
        <w:rPr>
          <w:rFonts w:ascii="Arial" w:hAnsi="Arial" w:cs="Arial"/>
          <w:sz w:val="24"/>
        </w:rPr>
        <w:t xml:space="preserve">la </w:t>
      </w:r>
      <w:r w:rsidR="00950B65" w:rsidRPr="0098104D">
        <w:rPr>
          <w:rFonts w:ascii="Arial" w:hAnsi="Arial" w:cs="Arial"/>
          <w:sz w:val="24"/>
        </w:rPr>
        <w:t>búsqueda de cómo lastimar a la sociedad. Por cada esfuerzo que destinamos hacia la seguridad, hay otro que la delincuencia destina hacia la inseguridad.</w:t>
      </w:r>
    </w:p>
    <w:p w:rsidR="00BE6414" w:rsidRPr="0098104D" w:rsidRDefault="00950B65" w:rsidP="004607AE">
      <w:pPr>
        <w:spacing w:before="100" w:beforeAutospacing="1" w:after="100" w:afterAutospacing="1" w:line="240" w:lineRule="auto"/>
        <w:jc w:val="both"/>
        <w:rPr>
          <w:rFonts w:ascii="Arial" w:hAnsi="Arial" w:cs="Arial"/>
          <w:sz w:val="24"/>
        </w:rPr>
      </w:pPr>
      <w:r w:rsidRPr="0098104D">
        <w:rPr>
          <w:rFonts w:ascii="Arial" w:hAnsi="Arial" w:cs="Arial"/>
          <w:sz w:val="24"/>
        </w:rPr>
        <w:t>Por tal razón, el gobierno, en el ejercicio de la función constitucional</w:t>
      </w:r>
      <w:r w:rsidR="001E0D42" w:rsidRPr="0098104D">
        <w:rPr>
          <w:rFonts w:ascii="Arial" w:hAnsi="Arial" w:cs="Arial"/>
          <w:sz w:val="24"/>
        </w:rPr>
        <w:t xml:space="preserve">, </w:t>
      </w:r>
      <w:r w:rsidRPr="0098104D">
        <w:rPr>
          <w:rFonts w:ascii="Arial" w:hAnsi="Arial" w:cs="Arial"/>
          <w:sz w:val="24"/>
        </w:rPr>
        <w:t xml:space="preserve">y del deber que tiene para con la </w:t>
      </w:r>
      <w:r w:rsidR="004607AE" w:rsidRPr="0098104D">
        <w:rPr>
          <w:rFonts w:ascii="Arial" w:hAnsi="Arial" w:cs="Arial"/>
          <w:sz w:val="24"/>
        </w:rPr>
        <w:t xml:space="preserve">sociedad, no puede </w:t>
      </w:r>
      <w:r w:rsidRPr="0098104D">
        <w:rPr>
          <w:rFonts w:ascii="Arial" w:hAnsi="Arial" w:cs="Arial"/>
          <w:sz w:val="24"/>
        </w:rPr>
        <w:t>descansar ni escatimar esfuerzos</w:t>
      </w:r>
      <w:r w:rsidR="004607AE" w:rsidRPr="0098104D">
        <w:rPr>
          <w:rFonts w:ascii="Arial" w:hAnsi="Arial" w:cs="Arial"/>
          <w:sz w:val="24"/>
        </w:rPr>
        <w:t xml:space="preserve"> para garantizar la seguridad de los habitantes, sino todo lo contrario: debe estar, incluso, por delante de la delincuencia y de sus manifestaciones.</w:t>
      </w:r>
    </w:p>
    <w:p w:rsidR="008278CC" w:rsidRPr="0098104D" w:rsidRDefault="000176D8" w:rsidP="000176D8">
      <w:pPr>
        <w:spacing w:before="100" w:beforeAutospacing="1" w:after="100" w:afterAutospacing="1" w:line="240" w:lineRule="auto"/>
        <w:jc w:val="both"/>
        <w:rPr>
          <w:rFonts w:ascii="Arial" w:hAnsi="Arial" w:cs="Arial"/>
          <w:sz w:val="24"/>
        </w:rPr>
      </w:pPr>
      <w:r w:rsidRPr="0098104D">
        <w:rPr>
          <w:rFonts w:ascii="Arial" w:hAnsi="Arial" w:cs="Arial"/>
          <w:sz w:val="24"/>
        </w:rPr>
        <w:t>La experiencia alrededor del mundo cada vez hace más evidente la efectividad de la tecnología aplicada a la seguridad. Su importancia recae en que permite complementar el trabajo que, día con día, rea</w:t>
      </w:r>
      <w:r w:rsidR="008278CC" w:rsidRPr="0098104D">
        <w:rPr>
          <w:rFonts w:ascii="Arial" w:hAnsi="Arial" w:cs="Arial"/>
          <w:sz w:val="24"/>
        </w:rPr>
        <w:t xml:space="preserve">lizan los elementos policiales. </w:t>
      </w:r>
      <w:r w:rsidRPr="0098104D">
        <w:rPr>
          <w:rFonts w:ascii="Arial" w:hAnsi="Arial" w:cs="Arial"/>
          <w:sz w:val="24"/>
        </w:rPr>
        <w:t>De esta</w:t>
      </w:r>
      <w:r w:rsidR="008278CC" w:rsidRPr="0098104D">
        <w:rPr>
          <w:rFonts w:ascii="Arial" w:hAnsi="Arial" w:cs="Arial"/>
          <w:sz w:val="24"/>
        </w:rPr>
        <w:t xml:space="preserve"> manera, la tecnología permite reforzar la vigilancia policial así como detectar y atender, con mayor agilidad, conductas y emergencias que </w:t>
      </w:r>
      <w:r w:rsidR="007F1622" w:rsidRPr="0098104D">
        <w:rPr>
          <w:rFonts w:ascii="Arial" w:hAnsi="Arial" w:cs="Arial"/>
          <w:sz w:val="24"/>
        </w:rPr>
        <w:t>ponen</w:t>
      </w:r>
      <w:r w:rsidR="008278CC" w:rsidRPr="0098104D">
        <w:rPr>
          <w:rFonts w:ascii="Arial" w:hAnsi="Arial" w:cs="Arial"/>
          <w:sz w:val="24"/>
        </w:rPr>
        <w:t xml:space="preserve"> en riesgo la seguridad de la población.</w:t>
      </w:r>
    </w:p>
    <w:p w:rsidR="008278CC" w:rsidRPr="0098104D" w:rsidRDefault="00E8773C" w:rsidP="00E8773C">
      <w:pPr>
        <w:spacing w:before="100" w:beforeAutospacing="1" w:after="100" w:afterAutospacing="1" w:line="240" w:lineRule="auto"/>
        <w:jc w:val="both"/>
        <w:rPr>
          <w:rFonts w:ascii="Arial" w:hAnsi="Arial" w:cs="Arial"/>
          <w:sz w:val="24"/>
        </w:rPr>
      </w:pPr>
      <w:r w:rsidRPr="0098104D">
        <w:rPr>
          <w:rFonts w:ascii="Arial" w:hAnsi="Arial" w:cs="Arial"/>
          <w:sz w:val="24"/>
        </w:rPr>
        <w:t xml:space="preserve">Uno de los beneficios más importantes que brindan los dispositivos tecnológicos para la seguridad es que previenen e inhiben la comisión de delitos e infracciones administrativas. </w:t>
      </w:r>
      <w:r w:rsidR="007F1622" w:rsidRPr="0098104D">
        <w:rPr>
          <w:rFonts w:ascii="Arial" w:hAnsi="Arial" w:cs="Arial"/>
          <w:sz w:val="24"/>
        </w:rPr>
        <w:t>De esta manera</w:t>
      </w:r>
      <w:r w:rsidRPr="0098104D">
        <w:rPr>
          <w:rFonts w:ascii="Arial" w:hAnsi="Arial" w:cs="Arial"/>
          <w:sz w:val="24"/>
        </w:rPr>
        <w:t>, los dispositivos permiten que personas que iban a cometer actos c</w:t>
      </w:r>
      <w:r w:rsidR="007F1622" w:rsidRPr="0098104D">
        <w:rPr>
          <w:rFonts w:ascii="Arial" w:hAnsi="Arial" w:cs="Arial"/>
          <w:sz w:val="24"/>
        </w:rPr>
        <w:t>ontrarios a la ley, no lo hagan</w:t>
      </w:r>
      <w:r w:rsidRPr="0098104D">
        <w:rPr>
          <w:rFonts w:ascii="Arial" w:hAnsi="Arial" w:cs="Arial"/>
          <w:sz w:val="24"/>
        </w:rPr>
        <w:t xml:space="preserve"> al saber que su conducta está siendo monitoreada y que, en caso de </w:t>
      </w:r>
      <w:r w:rsidR="007D45C3" w:rsidRPr="0098104D">
        <w:rPr>
          <w:rFonts w:ascii="Arial" w:hAnsi="Arial" w:cs="Arial"/>
          <w:sz w:val="24"/>
        </w:rPr>
        <w:t>hacerlo</w:t>
      </w:r>
      <w:r w:rsidRPr="0098104D">
        <w:rPr>
          <w:rFonts w:ascii="Arial" w:hAnsi="Arial" w:cs="Arial"/>
          <w:sz w:val="24"/>
        </w:rPr>
        <w:t>, la autoridad</w:t>
      </w:r>
      <w:r w:rsidR="007D45C3" w:rsidRPr="0098104D">
        <w:rPr>
          <w:rFonts w:ascii="Arial" w:hAnsi="Arial" w:cs="Arial"/>
          <w:sz w:val="24"/>
        </w:rPr>
        <w:t xml:space="preserve"> responderá en consecuencia</w:t>
      </w:r>
      <w:r w:rsidRPr="0098104D">
        <w:rPr>
          <w:rFonts w:ascii="Arial" w:hAnsi="Arial" w:cs="Arial"/>
          <w:sz w:val="24"/>
        </w:rPr>
        <w:t>.</w:t>
      </w:r>
    </w:p>
    <w:p w:rsidR="00E8773C" w:rsidRPr="0098104D" w:rsidRDefault="00E8773C" w:rsidP="00E8773C">
      <w:pPr>
        <w:spacing w:before="100" w:beforeAutospacing="1" w:after="100" w:afterAutospacing="1" w:line="240" w:lineRule="auto"/>
        <w:jc w:val="both"/>
        <w:rPr>
          <w:rFonts w:ascii="Arial" w:hAnsi="Arial" w:cs="Arial"/>
          <w:sz w:val="24"/>
        </w:rPr>
      </w:pPr>
      <w:r w:rsidRPr="0098104D">
        <w:rPr>
          <w:rFonts w:ascii="Arial" w:hAnsi="Arial" w:cs="Arial"/>
          <w:sz w:val="24"/>
        </w:rPr>
        <w:lastRenderedPageBreak/>
        <w:t xml:space="preserve">Pero estos dispositivos tecnológicos no solo brindan beneficios para con la seguridad: también lo hacen para con la justicia. En virtud del Código Nacional de </w:t>
      </w:r>
      <w:r w:rsidR="007F1622" w:rsidRPr="0098104D">
        <w:rPr>
          <w:rFonts w:ascii="Arial" w:hAnsi="Arial" w:cs="Arial"/>
          <w:sz w:val="24"/>
        </w:rPr>
        <w:t xml:space="preserve">Procedimientos Penales, las cámaras de videovigilancia, en particular, </w:t>
      </w:r>
      <w:r w:rsidRPr="0098104D">
        <w:rPr>
          <w:rFonts w:ascii="Arial" w:hAnsi="Arial" w:cs="Arial"/>
          <w:sz w:val="24"/>
        </w:rPr>
        <w:t>han sido de gran utilidad dentro del sistema de justicia penal, ya que las imágenes capturadas a través de ellas han servido como datos de prueba, medios de prueba o pruebas, contribuyendo, de esta forma, a una mejor procuración de justicia.</w:t>
      </w:r>
    </w:p>
    <w:p w:rsidR="008278CC" w:rsidRPr="0098104D" w:rsidRDefault="000176D8" w:rsidP="008278CC">
      <w:pPr>
        <w:spacing w:before="100" w:beforeAutospacing="1" w:after="100" w:afterAutospacing="1" w:line="240" w:lineRule="auto"/>
        <w:jc w:val="both"/>
        <w:rPr>
          <w:rFonts w:ascii="Arial" w:hAnsi="Arial" w:cs="Arial"/>
          <w:sz w:val="24"/>
        </w:rPr>
      </w:pPr>
      <w:r w:rsidRPr="0098104D">
        <w:rPr>
          <w:rFonts w:ascii="Arial" w:hAnsi="Arial" w:cs="Arial"/>
          <w:sz w:val="24"/>
        </w:rPr>
        <w:t xml:space="preserve">Actualmente, Yucatán cuenta con 2,248 </w:t>
      </w:r>
      <w:r w:rsidR="007F1622" w:rsidRPr="0098104D">
        <w:rPr>
          <w:rFonts w:ascii="Arial" w:hAnsi="Arial" w:cs="Arial"/>
          <w:sz w:val="24"/>
        </w:rPr>
        <w:t>cámaras de videovigilancia</w:t>
      </w:r>
      <w:r w:rsidR="008278CC" w:rsidRPr="0098104D">
        <w:rPr>
          <w:rFonts w:ascii="Arial" w:hAnsi="Arial" w:cs="Arial"/>
          <w:sz w:val="24"/>
        </w:rPr>
        <w:t xml:space="preserve"> </w:t>
      </w:r>
      <w:r w:rsidR="007F1622" w:rsidRPr="0098104D">
        <w:rPr>
          <w:rFonts w:ascii="Arial" w:hAnsi="Arial" w:cs="Arial"/>
          <w:sz w:val="24"/>
        </w:rPr>
        <w:t>distribuida</w:t>
      </w:r>
      <w:r w:rsidRPr="0098104D">
        <w:rPr>
          <w:rFonts w:ascii="Arial" w:hAnsi="Arial" w:cs="Arial"/>
          <w:sz w:val="24"/>
        </w:rPr>
        <w:t xml:space="preserve">s en el </w:t>
      </w:r>
      <w:r w:rsidR="008278CC" w:rsidRPr="0098104D">
        <w:rPr>
          <w:rFonts w:ascii="Arial" w:hAnsi="Arial" w:cs="Arial"/>
          <w:sz w:val="24"/>
        </w:rPr>
        <w:t>territorio del estado</w:t>
      </w:r>
      <w:r w:rsidRPr="0098104D">
        <w:rPr>
          <w:rFonts w:ascii="Arial" w:hAnsi="Arial" w:cs="Arial"/>
          <w:sz w:val="24"/>
        </w:rPr>
        <w:t>.</w:t>
      </w:r>
      <w:r w:rsidR="007F1622" w:rsidRPr="0098104D">
        <w:rPr>
          <w:rFonts w:ascii="Arial" w:hAnsi="Arial" w:cs="Arial"/>
          <w:sz w:val="24"/>
        </w:rPr>
        <w:t xml:space="preserve"> Gracias a ella</w:t>
      </w:r>
      <w:r w:rsidR="008278CC" w:rsidRPr="0098104D">
        <w:rPr>
          <w:rFonts w:ascii="Arial" w:hAnsi="Arial" w:cs="Arial"/>
          <w:sz w:val="24"/>
        </w:rPr>
        <w:t xml:space="preserve">s, ha sido posible detectar y atender conductas y emergencias que han puesto en peligro la seguridad de la comunidad y que, de no </w:t>
      </w:r>
      <w:r w:rsidR="007F1622" w:rsidRPr="0098104D">
        <w:rPr>
          <w:rFonts w:ascii="Arial" w:hAnsi="Arial" w:cs="Arial"/>
          <w:sz w:val="24"/>
        </w:rPr>
        <w:t>haberlas tenido</w:t>
      </w:r>
      <w:r w:rsidR="008278CC" w:rsidRPr="0098104D">
        <w:rPr>
          <w:rFonts w:ascii="Arial" w:hAnsi="Arial" w:cs="Arial"/>
          <w:sz w:val="24"/>
        </w:rPr>
        <w:t xml:space="preserve">, </w:t>
      </w:r>
      <w:r w:rsidR="007D45C3" w:rsidRPr="0098104D">
        <w:rPr>
          <w:rFonts w:ascii="Arial" w:hAnsi="Arial" w:cs="Arial"/>
          <w:sz w:val="24"/>
        </w:rPr>
        <w:t>posiblemente hubieran quedado sin atender</w:t>
      </w:r>
      <w:r w:rsidR="008278CC" w:rsidRPr="0098104D">
        <w:rPr>
          <w:rFonts w:ascii="Arial" w:hAnsi="Arial" w:cs="Arial"/>
          <w:sz w:val="24"/>
        </w:rPr>
        <w:t>.</w:t>
      </w:r>
    </w:p>
    <w:p w:rsidR="00890F64" w:rsidRPr="0098104D" w:rsidRDefault="00890F64" w:rsidP="007B184A">
      <w:pPr>
        <w:spacing w:before="100" w:beforeAutospacing="1" w:after="100" w:afterAutospacing="1" w:line="240" w:lineRule="auto"/>
        <w:jc w:val="both"/>
        <w:rPr>
          <w:rFonts w:ascii="Arial" w:hAnsi="Arial" w:cs="Arial"/>
          <w:sz w:val="24"/>
        </w:rPr>
      </w:pPr>
      <w:r w:rsidRPr="0098104D">
        <w:rPr>
          <w:rFonts w:ascii="Arial" w:hAnsi="Arial" w:cs="Arial"/>
          <w:sz w:val="24"/>
        </w:rPr>
        <w:t>De acuerdo con cifras del Consejo Nacional de Población, de 1990 a 2010, el número de habitantes de Yucatán creció 27%. En 2030, se espera que el estado cuente con 2, 503,132 habitantes</w:t>
      </w:r>
      <w:r w:rsidR="007B184A" w:rsidRPr="0098104D">
        <w:rPr>
          <w:rFonts w:ascii="Arial" w:hAnsi="Arial" w:cs="Arial"/>
          <w:sz w:val="24"/>
        </w:rPr>
        <w:t xml:space="preserve">. De ocurrir esto, </w:t>
      </w:r>
      <w:r w:rsidRPr="0098104D">
        <w:rPr>
          <w:rFonts w:ascii="Arial" w:hAnsi="Arial" w:cs="Arial"/>
          <w:sz w:val="24"/>
        </w:rPr>
        <w:t>en un periodo de cuarenta años</w:t>
      </w:r>
      <w:r w:rsidR="007D45C3" w:rsidRPr="0098104D">
        <w:rPr>
          <w:rFonts w:ascii="Arial" w:hAnsi="Arial" w:cs="Arial"/>
          <w:sz w:val="24"/>
        </w:rPr>
        <w:t xml:space="preserve">, la población </w:t>
      </w:r>
      <w:r w:rsidRPr="0098104D">
        <w:rPr>
          <w:rFonts w:ascii="Arial" w:hAnsi="Arial" w:cs="Arial"/>
          <w:sz w:val="24"/>
        </w:rPr>
        <w:t>habrá crecido 42%.</w:t>
      </w:r>
    </w:p>
    <w:p w:rsidR="007D45C3" w:rsidRPr="0098104D" w:rsidRDefault="007D45C3" w:rsidP="007D45C3">
      <w:pPr>
        <w:spacing w:before="100" w:beforeAutospacing="1" w:after="100" w:afterAutospacing="1" w:line="240" w:lineRule="auto"/>
        <w:jc w:val="both"/>
        <w:rPr>
          <w:rFonts w:ascii="Arial" w:hAnsi="Arial" w:cs="Arial"/>
          <w:sz w:val="24"/>
        </w:rPr>
      </w:pPr>
      <w:r w:rsidRPr="0098104D">
        <w:rPr>
          <w:rFonts w:ascii="Arial" w:hAnsi="Arial" w:cs="Arial"/>
          <w:sz w:val="24"/>
        </w:rPr>
        <w:t>En los últimos años, el comportamiento delictivo en Yucatán h</w:t>
      </w:r>
      <w:r w:rsidR="007F1622" w:rsidRPr="0098104D">
        <w:rPr>
          <w:rFonts w:ascii="Arial" w:hAnsi="Arial" w:cs="Arial"/>
          <w:sz w:val="24"/>
        </w:rPr>
        <w:t>a ido a la baja, a pesar de que a nivel nacional</w:t>
      </w:r>
      <w:r w:rsidRPr="0098104D">
        <w:rPr>
          <w:rFonts w:ascii="Arial" w:hAnsi="Arial" w:cs="Arial"/>
          <w:sz w:val="24"/>
        </w:rPr>
        <w:t xml:space="preserve"> la violencia ha incrementado. Si tomamos como referencia el periodo 2010-2016, </w:t>
      </w:r>
      <w:r w:rsidR="007F1622" w:rsidRPr="0098104D">
        <w:rPr>
          <w:rFonts w:ascii="Arial" w:hAnsi="Arial" w:cs="Arial"/>
          <w:sz w:val="24"/>
        </w:rPr>
        <w:t xml:space="preserve">de acuerdo con datos del Instituto Nacional de Estadística y Geografía, </w:t>
      </w:r>
      <w:r w:rsidRPr="0098104D">
        <w:rPr>
          <w:rFonts w:ascii="Arial" w:hAnsi="Arial" w:cs="Arial"/>
          <w:sz w:val="24"/>
        </w:rPr>
        <w:t>podremos constatar que, mientras la incidencia delictiva en el país incrementó 21%, en Yucatán disminuyó 37%.</w:t>
      </w:r>
    </w:p>
    <w:p w:rsidR="00B5067B" w:rsidRPr="0098104D" w:rsidRDefault="003C0334" w:rsidP="00B5067B">
      <w:pPr>
        <w:spacing w:before="100" w:beforeAutospacing="1" w:after="100" w:afterAutospacing="1" w:line="240" w:lineRule="auto"/>
        <w:jc w:val="both"/>
        <w:rPr>
          <w:rFonts w:ascii="Arial" w:hAnsi="Arial" w:cs="Arial"/>
          <w:sz w:val="24"/>
        </w:rPr>
      </w:pPr>
      <w:r w:rsidRPr="0098104D">
        <w:rPr>
          <w:rFonts w:ascii="Arial" w:hAnsi="Arial" w:cs="Arial"/>
          <w:sz w:val="24"/>
        </w:rPr>
        <w:t xml:space="preserve">Así, la ola de </w:t>
      </w:r>
      <w:r w:rsidR="00EE39F6" w:rsidRPr="0098104D">
        <w:rPr>
          <w:rFonts w:ascii="Arial" w:hAnsi="Arial" w:cs="Arial"/>
          <w:sz w:val="24"/>
        </w:rPr>
        <w:t>inseguridad</w:t>
      </w:r>
      <w:r w:rsidRPr="0098104D">
        <w:rPr>
          <w:rFonts w:ascii="Arial" w:hAnsi="Arial" w:cs="Arial"/>
          <w:sz w:val="24"/>
        </w:rPr>
        <w:t xml:space="preserve"> que se vive en el país y, particularmente, en algunos estados vecinos, pone en riesgo la seguridad de Yucatán.</w:t>
      </w:r>
      <w:r w:rsidR="00B5067B" w:rsidRPr="0098104D">
        <w:rPr>
          <w:rFonts w:ascii="Arial" w:hAnsi="Arial" w:cs="Arial"/>
          <w:sz w:val="24"/>
        </w:rPr>
        <w:t xml:space="preserve"> Si bien se ha logrado mantener la seguridad en el estado, no debemos dar por hecho que así será siempre. Lo que no se cuida, se pierde. Existen ejemplos en el país que revelan</w:t>
      </w:r>
      <w:r w:rsidR="007F1622" w:rsidRPr="0098104D">
        <w:rPr>
          <w:rFonts w:ascii="Arial" w:hAnsi="Arial" w:cs="Arial"/>
          <w:sz w:val="24"/>
        </w:rPr>
        <w:t xml:space="preserve"> con toda claridad</w:t>
      </w:r>
      <w:r w:rsidR="00B5067B" w:rsidRPr="0098104D">
        <w:rPr>
          <w:rFonts w:ascii="Arial" w:hAnsi="Arial" w:cs="Arial"/>
          <w:sz w:val="24"/>
        </w:rPr>
        <w:t xml:space="preserve"> que esto es posible.</w:t>
      </w:r>
    </w:p>
    <w:p w:rsidR="00B5067B" w:rsidRPr="0098104D" w:rsidRDefault="00B5067B" w:rsidP="00B5067B">
      <w:pPr>
        <w:spacing w:before="100" w:beforeAutospacing="1" w:after="100" w:afterAutospacing="1" w:line="240" w:lineRule="auto"/>
        <w:jc w:val="both"/>
        <w:rPr>
          <w:rFonts w:ascii="Arial" w:hAnsi="Arial" w:cs="Arial"/>
          <w:sz w:val="24"/>
        </w:rPr>
      </w:pPr>
      <w:r w:rsidRPr="0098104D">
        <w:rPr>
          <w:rFonts w:ascii="Arial" w:hAnsi="Arial" w:cs="Arial"/>
          <w:sz w:val="24"/>
        </w:rPr>
        <w:t>Por tal razón, no debemos escatimar esfuerzos ni recursos en mantener y reforzar la seguridad que tanto n</w:t>
      </w:r>
      <w:r w:rsidR="009C7629" w:rsidRPr="0098104D">
        <w:rPr>
          <w:rFonts w:ascii="Arial" w:hAnsi="Arial" w:cs="Arial"/>
          <w:sz w:val="24"/>
        </w:rPr>
        <w:t>os ha costado y que permite el bienestar de Yucatán.</w:t>
      </w:r>
    </w:p>
    <w:p w:rsidR="00EE39F6" w:rsidRPr="0098104D" w:rsidRDefault="00EE39F6" w:rsidP="00EE39F6">
      <w:pPr>
        <w:spacing w:before="100" w:beforeAutospacing="1" w:after="100" w:afterAutospacing="1" w:line="240" w:lineRule="auto"/>
        <w:jc w:val="both"/>
        <w:rPr>
          <w:rFonts w:ascii="Arial" w:hAnsi="Arial" w:cs="Arial"/>
          <w:sz w:val="24"/>
        </w:rPr>
      </w:pPr>
      <w:r w:rsidRPr="0098104D">
        <w:rPr>
          <w:rFonts w:ascii="Arial" w:hAnsi="Arial" w:cs="Arial"/>
          <w:sz w:val="24"/>
        </w:rPr>
        <w:t>Nos encontramos en un momento decisivo que nos obliga a plantearnos las necesidades para mantener la seguridad futura de Yucatán. El acelerado crecimiento demográfico y la ola de inseguridad que se vive en el país, entre otros, son fenómenos que ponen de manifiesto la necesidad de tomar decisiones fundamentales que sentarán las bases del Yucatán del mañana.</w:t>
      </w:r>
    </w:p>
    <w:p w:rsidR="003E7314" w:rsidRPr="0098104D" w:rsidRDefault="003E7314" w:rsidP="00EE39F6">
      <w:pPr>
        <w:spacing w:before="100" w:beforeAutospacing="1" w:after="100" w:afterAutospacing="1" w:line="240" w:lineRule="auto"/>
        <w:jc w:val="both"/>
        <w:rPr>
          <w:rFonts w:ascii="Arial" w:hAnsi="Arial" w:cs="Arial"/>
          <w:sz w:val="24"/>
        </w:rPr>
      </w:pPr>
      <w:r w:rsidRPr="0098104D">
        <w:rPr>
          <w:rFonts w:ascii="Arial" w:hAnsi="Arial" w:cs="Arial"/>
          <w:sz w:val="24"/>
        </w:rPr>
        <w:t xml:space="preserve">Es por ello que </w:t>
      </w:r>
      <w:r w:rsidR="00EE39F6" w:rsidRPr="0098104D">
        <w:rPr>
          <w:rFonts w:ascii="Arial" w:hAnsi="Arial" w:cs="Arial"/>
          <w:sz w:val="24"/>
        </w:rPr>
        <w:t>el Poder Ejecutivo</w:t>
      </w:r>
      <w:r w:rsidRPr="0098104D">
        <w:rPr>
          <w:rFonts w:ascii="Arial" w:hAnsi="Arial" w:cs="Arial"/>
          <w:sz w:val="24"/>
        </w:rPr>
        <w:t xml:space="preserve">, consciente de la necesidad de estas decisiones, y de la importancia que tiene la seguridad para Yucatán, diseñó un programa que busca ampliar las capacidades institucionales para reforzar la vigilancia policial y, </w:t>
      </w:r>
      <w:r w:rsidRPr="0098104D">
        <w:rPr>
          <w:rFonts w:ascii="Arial" w:hAnsi="Arial" w:cs="Arial"/>
          <w:sz w:val="24"/>
        </w:rPr>
        <w:lastRenderedPageBreak/>
        <w:t>así, propiciar una atención más oportuna y eficiente de las conductas y los hechos que pongan en riesgo la seguridad de los yucatecos: el programa “Yucatán Seguro”.</w:t>
      </w:r>
    </w:p>
    <w:p w:rsidR="003E7314" w:rsidRPr="0098104D" w:rsidRDefault="003E7314" w:rsidP="003E7314">
      <w:pPr>
        <w:spacing w:before="100" w:beforeAutospacing="1" w:after="100" w:afterAutospacing="1" w:line="240" w:lineRule="auto"/>
        <w:jc w:val="both"/>
        <w:rPr>
          <w:rFonts w:ascii="Arial" w:hAnsi="Arial" w:cs="Arial"/>
          <w:b/>
          <w:i/>
          <w:sz w:val="24"/>
        </w:rPr>
      </w:pPr>
      <w:r w:rsidRPr="0098104D">
        <w:rPr>
          <w:rFonts w:ascii="Arial" w:hAnsi="Arial" w:cs="Arial"/>
          <w:b/>
          <w:i/>
          <w:sz w:val="24"/>
        </w:rPr>
        <w:t>Programa “Yucatán Seguro”</w:t>
      </w:r>
    </w:p>
    <w:p w:rsidR="003E7314" w:rsidRPr="0098104D" w:rsidRDefault="003E7314" w:rsidP="003E7314">
      <w:pPr>
        <w:spacing w:before="100" w:beforeAutospacing="1" w:after="100" w:afterAutospacing="1" w:line="240" w:lineRule="auto"/>
        <w:jc w:val="both"/>
        <w:rPr>
          <w:rFonts w:ascii="Arial" w:hAnsi="Arial" w:cs="Arial"/>
          <w:sz w:val="24"/>
        </w:rPr>
      </w:pPr>
      <w:r w:rsidRPr="0098104D">
        <w:rPr>
          <w:rFonts w:ascii="Arial" w:hAnsi="Arial" w:cs="Arial"/>
          <w:sz w:val="24"/>
        </w:rPr>
        <w:t>El programa “Yucatán Seguro” tiene por objeto contribuir al fortalecimiento de la seguridad pública de Yucatán, mediante la adq</w:t>
      </w:r>
      <w:r w:rsidR="00D5642A" w:rsidRPr="0098104D">
        <w:rPr>
          <w:rFonts w:ascii="Arial" w:hAnsi="Arial" w:cs="Arial"/>
          <w:sz w:val="24"/>
        </w:rPr>
        <w:t xml:space="preserve">uisición, instalación y operación </w:t>
      </w:r>
      <w:r w:rsidRPr="0098104D">
        <w:rPr>
          <w:rFonts w:ascii="Arial" w:hAnsi="Arial" w:cs="Arial"/>
          <w:sz w:val="24"/>
        </w:rPr>
        <w:t xml:space="preserve">de equipos tecnológicos de </w:t>
      </w:r>
      <w:r w:rsidR="00D5642A" w:rsidRPr="0098104D">
        <w:rPr>
          <w:rFonts w:ascii="Arial" w:hAnsi="Arial" w:cs="Arial"/>
          <w:sz w:val="24"/>
        </w:rPr>
        <w:t>vanguardia y de la más alta calidad.</w:t>
      </w:r>
    </w:p>
    <w:p w:rsidR="00D5642A" w:rsidRPr="0098104D" w:rsidRDefault="00D5642A" w:rsidP="00D5642A">
      <w:pPr>
        <w:spacing w:before="100" w:beforeAutospacing="1" w:after="100" w:afterAutospacing="1" w:line="240" w:lineRule="auto"/>
        <w:jc w:val="both"/>
        <w:rPr>
          <w:rFonts w:ascii="Arial" w:hAnsi="Arial" w:cs="Arial"/>
          <w:sz w:val="24"/>
        </w:rPr>
      </w:pPr>
      <w:r w:rsidRPr="0098104D">
        <w:rPr>
          <w:rFonts w:ascii="Arial" w:hAnsi="Arial" w:cs="Arial"/>
          <w:sz w:val="24"/>
        </w:rPr>
        <w:t xml:space="preserve">Así, el programa “Yucatán Seguro” comprende el desarrollo de la videovigilancia urbana, la videovigilancia vecinal y la aerovigilancia; el desarrollo de una nueva central de mando con tecnología C5 I; la </w:t>
      </w:r>
      <w:r w:rsidR="00B45F8C" w:rsidRPr="0098104D">
        <w:rPr>
          <w:rFonts w:ascii="Arial" w:hAnsi="Arial" w:cs="Arial"/>
          <w:sz w:val="24"/>
        </w:rPr>
        <w:t xml:space="preserve">instalación, </w:t>
      </w:r>
      <w:r w:rsidRPr="0098104D">
        <w:rPr>
          <w:rFonts w:ascii="Arial" w:hAnsi="Arial" w:cs="Arial"/>
          <w:sz w:val="24"/>
        </w:rPr>
        <w:t>ampliación y modernización de los centros de monitoreo regionales; la instalación de arcos carreteros; la instalación de botones de pánico con sistema de comunicación bidireccional; el fortalecimiento de la policía costera; y la implementación de un sistema de semáforos inteligentes.</w:t>
      </w:r>
    </w:p>
    <w:p w:rsidR="00D5642A" w:rsidRPr="0098104D" w:rsidRDefault="00D5642A" w:rsidP="00D5642A">
      <w:pPr>
        <w:spacing w:before="100" w:beforeAutospacing="1" w:after="100" w:afterAutospacing="1" w:line="240" w:lineRule="auto"/>
        <w:jc w:val="both"/>
        <w:rPr>
          <w:rFonts w:ascii="Arial" w:hAnsi="Arial" w:cs="Arial"/>
          <w:sz w:val="24"/>
        </w:rPr>
      </w:pPr>
      <w:r w:rsidRPr="0098104D">
        <w:rPr>
          <w:rFonts w:ascii="Arial" w:hAnsi="Arial" w:cs="Arial"/>
          <w:sz w:val="24"/>
        </w:rPr>
        <w:t>Con r</w:t>
      </w:r>
      <w:r w:rsidR="00B45F8C" w:rsidRPr="0098104D">
        <w:rPr>
          <w:rFonts w:ascii="Arial" w:hAnsi="Arial" w:cs="Arial"/>
          <w:sz w:val="24"/>
        </w:rPr>
        <w:t xml:space="preserve">especto a la videovigilancia, </w:t>
      </w:r>
      <w:r w:rsidRPr="0098104D">
        <w:rPr>
          <w:rFonts w:ascii="Arial" w:hAnsi="Arial" w:cs="Arial"/>
          <w:sz w:val="24"/>
        </w:rPr>
        <w:t xml:space="preserve">se pretenden adquirir, instalar y operar 3,527 nuevas cámaras de videovigilancia, las cuales, sumadas a las </w:t>
      </w:r>
      <w:r w:rsidR="00CD356F" w:rsidRPr="0098104D">
        <w:rPr>
          <w:rFonts w:ascii="Arial" w:hAnsi="Arial" w:cs="Arial"/>
          <w:sz w:val="24"/>
        </w:rPr>
        <w:t xml:space="preserve">2,248 </w:t>
      </w:r>
      <w:r w:rsidRPr="0098104D">
        <w:rPr>
          <w:rFonts w:ascii="Arial" w:hAnsi="Arial" w:cs="Arial"/>
          <w:sz w:val="24"/>
        </w:rPr>
        <w:t>actuales, permitirán contar con un total de 5,775 cámaras, instaladas en puntos estratégicos del estado y que</w:t>
      </w:r>
      <w:r w:rsidR="00E945EA" w:rsidRPr="0098104D">
        <w:rPr>
          <w:rFonts w:ascii="Arial" w:hAnsi="Arial" w:cs="Arial"/>
          <w:sz w:val="24"/>
        </w:rPr>
        <w:t xml:space="preserve"> trabajarán veinticuatro horas, los trescientos sesenta y cinco días del año, al servicio de la comunidad.</w:t>
      </w:r>
    </w:p>
    <w:p w:rsidR="00D5642A" w:rsidRPr="0098104D" w:rsidRDefault="00E945EA" w:rsidP="003E7314">
      <w:pPr>
        <w:spacing w:before="100" w:beforeAutospacing="1" w:after="100" w:afterAutospacing="1" w:line="240" w:lineRule="auto"/>
        <w:jc w:val="both"/>
        <w:rPr>
          <w:rFonts w:ascii="Arial" w:hAnsi="Arial" w:cs="Arial"/>
          <w:sz w:val="24"/>
        </w:rPr>
      </w:pPr>
      <w:r w:rsidRPr="0098104D">
        <w:rPr>
          <w:rFonts w:ascii="Arial" w:hAnsi="Arial" w:cs="Arial"/>
          <w:sz w:val="24"/>
        </w:rPr>
        <w:t>Para el desarrollo de la aerovigilancia</w:t>
      </w:r>
      <w:r w:rsidR="00B45F8C" w:rsidRPr="0098104D">
        <w:rPr>
          <w:rFonts w:ascii="Arial" w:hAnsi="Arial" w:cs="Arial"/>
          <w:sz w:val="24"/>
        </w:rPr>
        <w:t xml:space="preserve">, </w:t>
      </w:r>
      <w:r w:rsidR="006F367A">
        <w:rPr>
          <w:rFonts w:ascii="Arial" w:hAnsi="Arial" w:cs="Arial"/>
          <w:sz w:val="24"/>
        </w:rPr>
        <w:t xml:space="preserve">se pretenden adquirir </w:t>
      </w:r>
      <w:r w:rsidRPr="0098104D">
        <w:rPr>
          <w:rFonts w:ascii="Arial" w:hAnsi="Arial" w:cs="Arial"/>
          <w:sz w:val="24"/>
        </w:rPr>
        <w:t>drones con capacidad de vuelo para misiones precargadas sin necesidad de operador y un hangar para estos equipos. De igual manera, se pretende adquirir una aeronave de vigilancia</w:t>
      </w:r>
      <w:r w:rsidR="008637D6">
        <w:rPr>
          <w:rFonts w:ascii="Arial" w:hAnsi="Arial" w:cs="Arial"/>
          <w:sz w:val="24"/>
        </w:rPr>
        <w:t xml:space="preserve"> equipada con tecnología de vanguardia</w:t>
      </w:r>
      <w:r w:rsidR="006F367A">
        <w:rPr>
          <w:rFonts w:ascii="Arial" w:hAnsi="Arial" w:cs="Arial"/>
          <w:sz w:val="24"/>
        </w:rPr>
        <w:t>. Todos los equipos mencionados</w:t>
      </w:r>
      <w:r w:rsidRPr="0098104D">
        <w:rPr>
          <w:rFonts w:ascii="Arial" w:hAnsi="Arial" w:cs="Arial"/>
          <w:sz w:val="24"/>
        </w:rPr>
        <w:t xml:space="preserve"> estarán </w:t>
      </w:r>
      <w:r w:rsidR="008637D6">
        <w:rPr>
          <w:rFonts w:ascii="Arial" w:hAnsi="Arial" w:cs="Arial"/>
          <w:sz w:val="24"/>
        </w:rPr>
        <w:t xml:space="preserve">enlazados </w:t>
      </w:r>
      <w:r w:rsidRPr="0098104D">
        <w:rPr>
          <w:rFonts w:ascii="Arial" w:hAnsi="Arial" w:cs="Arial"/>
          <w:sz w:val="24"/>
        </w:rPr>
        <w:t>a la nueva centra</w:t>
      </w:r>
      <w:r w:rsidR="006F367A">
        <w:rPr>
          <w:rFonts w:ascii="Arial" w:hAnsi="Arial" w:cs="Arial"/>
          <w:sz w:val="24"/>
        </w:rPr>
        <w:t>l</w:t>
      </w:r>
      <w:r w:rsidRPr="0098104D">
        <w:rPr>
          <w:rFonts w:ascii="Arial" w:hAnsi="Arial" w:cs="Arial"/>
          <w:sz w:val="24"/>
        </w:rPr>
        <w:t xml:space="preserve"> del mando con tecnología C5 I.</w:t>
      </w:r>
    </w:p>
    <w:p w:rsidR="00D5642A" w:rsidRPr="0098104D" w:rsidRDefault="00E945EA" w:rsidP="003E7314">
      <w:pPr>
        <w:spacing w:before="100" w:beforeAutospacing="1" w:after="100" w:afterAutospacing="1" w:line="240" w:lineRule="auto"/>
        <w:jc w:val="both"/>
        <w:rPr>
          <w:rFonts w:ascii="Arial" w:hAnsi="Arial" w:cs="Arial"/>
          <w:sz w:val="24"/>
        </w:rPr>
      </w:pPr>
      <w:r w:rsidRPr="0098104D">
        <w:rPr>
          <w:rFonts w:ascii="Arial" w:hAnsi="Arial" w:cs="Arial"/>
          <w:sz w:val="24"/>
        </w:rPr>
        <w:t>En cuanto a los centros de monitoreo regionales</w:t>
      </w:r>
      <w:r w:rsidR="00B45F8C" w:rsidRPr="0098104D">
        <w:rPr>
          <w:rFonts w:ascii="Arial" w:hAnsi="Arial" w:cs="Arial"/>
          <w:sz w:val="24"/>
        </w:rPr>
        <w:t xml:space="preserve">, se pretenden instalar, </w:t>
      </w:r>
      <w:r w:rsidR="001522ED" w:rsidRPr="0098104D">
        <w:rPr>
          <w:rFonts w:ascii="Arial" w:hAnsi="Arial" w:cs="Arial"/>
          <w:sz w:val="24"/>
        </w:rPr>
        <w:t xml:space="preserve">ampliar y modernizar centros </w:t>
      </w:r>
      <w:r w:rsidR="00B45F8C" w:rsidRPr="0098104D">
        <w:rPr>
          <w:rFonts w:ascii="Arial" w:hAnsi="Arial" w:cs="Arial"/>
          <w:sz w:val="24"/>
        </w:rPr>
        <w:t>en Mérida, Motul, Tizimín y Tekax</w:t>
      </w:r>
      <w:r w:rsidR="001522ED" w:rsidRPr="0098104D">
        <w:rPr>
          <w:rFonts w:ascii="Arial" w:hAnsi="Arial" w:cs="Arial"/>
          <w:sz w:val="24"/>
        </w:rPr>
        <w:t>,</w:t>
      </w:r>
      <w:r w:rsidR="00B45F8C" w:rsidRPr="0098104D">
        <w:rPr>
          <w:rFonts w:ascii="Arial" w:hAnsi="Arial" w:cs="Arial"/>
          <w:sz w:val="24"/>
        </w:rPr>
        <w:t xml:space="preserve"> para agilizar los tiempos de respuesta policial ante emergencias de cualquier tipo.</w:t>
      </w:r>
    </w:p>
    <w:p w:rsidR="00B45F8C" w:rsidRPr="0098104D" w:rsidRDefault="00B45F8C" w:rsidP="003E7314">
      <w:pPr>
        <w:spacing w:before="100" w:beforeAutospacing="1" w:after="100" w:afterAutospacing="1" w:line="240" w:lineRule="auto"/>
        <w:jc w:val="both"/>
        <w:rPr>
          <w:rFonts w:ascii="Arial" w:hAnsi="Arial" w:cs="Arial"/>
          <w:sz w:val="24"/>
        </w:rPr>
      </w:pPr>
      <w:r w:rsidRPr="0098104D">
        <w:rPr>
          <w:rFonts w:ascii="Arial" w:hAnsi="Arial" w:cs="Arial"/>
          <w:sz w:val="24"/>
        </w:rPr>
        <w:t>Por su parte, el programa “Yucatán Seguro” también considera aumentar el número de arcos carreteros lectores de placas con conexión al Registro Público Vehicular. Actualmente, se cuenta con cien arcos carreteros y se pretenden adquirir ciento diecinueve más, con lo cual se llegará a un total de doscientos diecinueve arcos.</w:t>
      </w:r>
    </w:p>
    <w:p w:rsidR="00B45F8C" w:rsidRPr="0098104D" w:rsidRDefault="00B45F8C" w:rsidP="003E7314">
      <w:pPr>
        <w:spacing w:before="100" w:beforeAutospacing="1" w:after="100" w:afterAutospacing="1" w:line="240" w:lineRule="auto"/>
        <w:jc w:val="both"/>
        <w:rPr>
          <w:rFonts w:ascii="Arial" w:hAnsi="Arial" w:cs="Arial"/>
          <w:sz w:val="24"/>
        </w:rPr>
      </w:pPr>
      <w:r w:rsidRPr="0098104D">
        <w:rPr>
          <w:rFonts w:ascii="Arial" w:hAnsi="Arial" w:cs="Arial"/>
          <w:sz w:val="24"/>
        </w:rPr>
        <w:t>Asimismo, se considera la instalación de botones de pánico en postes de videovigilancia urbana para reportar incidentes. Se pretende</w:t>
      </w:r>
      <w:r w:rsidR="001522ED" w:rsidRPr="0098104D">
        <w:rPr>
          <w:rFonts w:ascii="Arial" w:hAnsi="Arial" w:cs="Arial"/>
          <w:sz w:val="24"/>
        </w:rPr>
        <w:t>n</w:t>
      </w:r>
      <w:r w:rsidRPr="0098104D">
        <w:rPr>
          <w:rFonts w:ascii="Arial" w:hAnsi="Arial" w:cs="Arial"/>
          <w:sz w:val="24"/>
        </w:rPr>
        <w:t xml:space="preserve"> instalar cincuenta botones de pánico con intercomunicador de dos vías enlazado a la nueva central de </w:t>
      </w:r>
      <w:r w:rsidRPr="0098104D">
        <w:rPr>
          <w:rFonts w:ascii="Arial" w:hAnsi="Arial" w:cs="Arial"/>
          <w:sz w:val="24"/>
        </w:rPr>
        <w:lastRenderedPageBreak/>
        <w:t>mando con tecnología C5 I. De esta forma, se estará en posibilidad de auxiliar, las veinticuatro horas del día, a quien se encuentre en la vía pública y lo requiera.</w:t>
      </w:r>
    </w:p>
    <w:p w:rsidR="00B45F8C" w:rsidRPr="0098104D" w:rsidRDefault="00CD356F" w:rsidP="003E7314">
      <w:pPr>
        <w:spacing w:before="100" w:beforeAutospacing="1" w:after="100" w:afterAutospacing="1" w:line="240" w:lineRule="auto"/>
        <w:jc w:val="both"/>
        <w:rPr>
          <w:rFonts w:ascii="Arial" w:hAnsi="Arial" w:cs="Arial"/>
          <w:sz w:val="24"/>
        </w:rPr>
      </w:pPr>
      <w:r w:rsidRPr="0098104D">
        <w:rPr>
          <w:rFonts w:ascii="Arial" w:hAnsi="Arial" w:cs="Arial"/>
          <w:sz w:val="24"/>
        </w:rPr>
        <w:t>Con el propósito de compleme</w:t>
      </w:r>
      <w:r w:rsidR="001522ED" w:rsidRPr="0098104D">
        <w:rPr>
          <w:rFonts w:ascii="Arial" w:hAnsi="Arial" w:cs="Arial"/>
          <w:sz w:val="24"/>
        </w:rPr>
        <w:t xml:space="preserve">ntar la vigilancia por tierra y </w:t>
      </w:r>
      <w:r w:rsidRPr="0098104D">
        <w:rPr>
          <w:rFonts w:ascii="Arial" w:hAnsi="Arial" w:cs="Arial"/>
          <w:sz w:val="24"/>
        </w:rPr>
        <w:t>aire, se pretende fortalecer a la policía costera</w:t>
      </w:r>
      <w:r w:rsidR="001522ED" w:rsidRPr="0098104D">
        <w:rPr>
          <w:rFonts w:ascii="Arial" w:hAnsi="Arial" w:cs="Arial"/>
          <w:sz w:val="24"/>
        </w:rPr>
        <w:t>,</w:t>
      </w:r>
      <w:r w:rsidRPr="0098104D">
        <w:rPr>
          <w:rFonts w:ascii="Arial" w:hAnsi="Arial" w:cs="Arial"/>
          <w:sz w:val="24"/>
        </w:rPr>
        <w:t xml:space="preserve"> mediante la adquisición de cuatro embarcaciones de vanguardia que permitirán atender las emergencias que se presenten en el mar.</w:t>
      </w:r>
    </w:p>
    <w:p w:rsidR="00CD356F" w:rsidRPr="0098104D" w:rsidRDefault="00CD356F" w:rsidP="003E7314">
      <w:pPr>
        <w:spacing w:before="100" w:beforeAutospacing="1" w:after="100" w:afterAutospacing="1" w:line="240" w:lineRule="auto"/>
        <w:jc w:val="both"/>
        <w:rPr>
          <w:rFonts w:ascii="Arial" w:hAnsi="Arial" w:cs="Arial"/>
          <w:sz w:val="24"/>
        </w:rPr>
      </w:pPr>
      <w:r w:rsidRPr="0098104D">
        <w:rPr>
          <w:rFonts w:ascii="Arial" w:hAnsi="Arial" w:cs="Arial"/>
          <w:sz w:val="24"/>
        </w:rPr>
        <w:t xml:space="preserve">Finalmente, para contribuir al buen funcionamiento del sistema vial de Mérida, se pretende implementar un sistema de semáforos inteligentes, </w:t>
      </w:r>
      <w:r w:rsidR="001522ED" w:rsidRPr="0098104D">
        <w:rPr>
          <w:rFonts w:ascii="Arial" w:hAnsi="Arial" w:cs="Arial"/>
          <w:sz w:val="24"/>
        </w:rPr>
        <w:t xml:space="preserve">que estarán </w:t>
      </w:r>
      <w:r w:rsidRPr="0098104D">
        <w:rPr>
          <w:rFonts w:ascii="Arial" w:hAnsi="Arial" w:cs="Arial"/>
          <w:sz w:val="24"/>
        </w:rPr>
        <w:t>conectados a la nueva centr</w:t>
      </w:r>
      <w:r w:rsidR="001522ED" w:rsidRPr="0098104D">
        <w:rPr>
          <w:rFonts w:ascii="Arial" w:hAnsi="Arial" w:cs="Arial"/>
          <w:sz w:val="24"/>
        </w:rPr>
        <w:t xml:space="preserve">al de mando con tecnología C5 I y </w:t>
      </w:r>
      <w:r w:rsidRPr="0098104D">
        <w:rPr>
          <w:rFonts w:ascii="Arial" w:hAnsi="Arial" w:cs="Arial"/>
          <w:sz w:val="24"/>
        </w:rPr>
        <w:t>desde los cuales se podrá controlar</w:t>
      </w:r>
      <w:r w:rsidR="001522ED" w:rsidRPr="0098104D">
        <w:rPr>
          <w:rFonts w:ascii="Arial" w:hAnsi="Arial" w:cs="Arial"/>
          <w:sz w:val="24"/>
        </w:rPr>
        <w:t>,</w:t>
      </w:r>
      <w:r w:rsidRPr="0098104D">
        <w:rPr>
          <w:rFonts w:ascii="Arial" w:hAnsi="Arial" w:cs="Arial"/>
          <w:sz w:val="24"/>
        </w:rPr>
        <w:t xml:space="preserve"> en tiempo real</w:t>
      </w:r>
      <w:r w:rsidR="001522ED" w:rsidRPr="0098104D">
        <w:rPr>
          <w:rFonts w:ascii="Arial" w:hAnsi="Arial" w:cs="Arial"/>
          <w:sz w:val="24"/>
        </w:rPr>
        <w:t>,</w:t>
      </w:r>
      <w:r w:rsidRPr="0098104D">
        <w:rPr>
          <w:rFonts w:ascii="Arial" w:hAnsi="Arial" w:cs="Arial"/>
          <w:sz w:val="24"/>
        </w:rPr>
        <w:t xml:space="preserve"> el tr</w:t>
      </w:r>
      <w:r w:rsidR="001522ED" w:rsidRPr="0098104D">
        <w:rPr>
          <w:rFonts w:ascii="Arial" w:hAnsi="Arial" w:cs="Arial"/>
          <w:sz w:val="24"/>
        </w:rPr>
        <w:t>ánsito vehicular para ajustarlo</w:t>
      </w:r>
      <w:r w:rsidRPr="0098104D">
        <w:rPr>
          <w:rFonts w:ascii="Arial" w:hAnsi="Arial" w:cs="Arial"/>
          <w:sz w:val="24"/>
        </w:rPr>
        <w:t xml:space="preserve"> en caso de ser necesario. Así, este sistema considerará la instalación de ciento cuarenta</w:t>
      </w:r>
      <w:r w:rsidR="00006DA6" w:rsidRPr="0098104D">
        <w:rPr>
          <w:rFonts w:ascii="Arial" w:hAnsi="Arial" w:cs="Arial"/>
          <w:sz w:val="24"/>
        </w:rPr>
        <w:t xml:space="preserve"> y </w:t>
      </w:r>
      <w:r w:rsidRPr="0098104D">
        <w:rPr>
          <w:rFonts w:ascii="Arial" w:hAnsi="Arial" w:cs="Arial"/>
          <w:sz w:val="24"/>
        </w:rPr>
        <w:t>ún nuevos semáforos y controladores</w:t>
      </w:r>
      <w:r w:rsidR="001522ED" w:rsidRPr="0098104D">
        <w:rPr>
          <w:rFonts w:ascii="Arial" w:hAnsi="Arial" w:cs="Arial"/>
          <w:sz w:val="24"/>
        </w:rPr>
        <w:t>,</w:t>
      </w:r>
      <w:r w:rsidRPr="0098104D">
        <w:rPr>
          <w:rFonts w:ascii="Arial" w:hAnsi="Arial" w:cs="Arial"/>
          <w:sz w:val="24"/>
        </w:rPr>
        <w:t xml:space="preserve"> que se sumarán a los trescientos sesenta y tres ya existentes. </w:t>
      </w:r>
    </w:p>
    <w:p w:rsidR="003E7314" w:rsidRPr="0098104D" w:rsidRDefault="00FF468A" w:rsidP="003E7314">
      <w:pPr>
        <w:spacing w:before="100" w:beforeAutospacing="1" w:after="100" w:afterAutospacing="1" w:line="240" w:lineRule="auto"/>
        <w:jc w:val="both"/>
        <w:rPr>
          <w:rFonts w:ascii="Arial" w:hAnsi="Arial" w:cs="Arial"/>
          <w:sz w:val="24"/>
        </w:rPr>
      </w:pPr>
      <w:r w:rsidRPr="0098104D">
        <w:rPr>
          <w:rFonts w:ascii="Arial" w:hAnsi="Arial" w:cs="Arial"/>
          <w:sz w:val="24"/>
        </w:rPr>
        <w:t>El programa “Yucatán Seguro”</w:t>
      </w:r>
      <w:r w:rsidR="003E7314" w:rsidRPr="0098104D">
        <w:rPr>
          <w:rFonts w:ascii="Arial" w:hAnsi="Arial" w:cs="Arial"/>
          <w:sz w:val="24"/>
        </w:rPr>
        <w:t xml:space="preserve"> encuentra sus cimientos en el Plan Estatal de Desarrollo 2018-2024, el cual, en su eje transversal 7, “Paz, Justicia y Gobernabilidad”, define el objetivo 7.1.2, “Disminuir la incidencia delictiva en el estado”, que contiene la estrategia 7.1.2.1, “Fortalecer la seguridad pública con énfasis en las regiones de mayor vulnerabilidad y en apego a los derechos humanos”, y las consecuentes líneas de acción 7.1.2.1.1, “Reforzar la infraestructura, equipamiento y tecnología de las instituciones de seguridad, en beneficio de la población y visitantes del estado”, y 7.1.2.1.3, “Fortalecer las capacidades del sistema de videovigilancia en toda la entidad y sus carreteras, con énfasis especial en zonas de mayor presencia delictiva”.</w:t>
      </w:r>
    </w:p>
    <w:p w:rsidR="003E7314" w:rsidRPr="0098104D" w:rsidRDefault="003E7314" w:rsidP="003E7314">
      <w:pPr>
        <w:spacing w:before="100" w:beforeAutospacing="1" w:after="100" w:afterAutospacing="1" w:line="240" w:lineRule="auto"/>
        <w:jc w:val="both"/>
        <w:rPr>
          <w:rFonts w:ascii="Arial" w:hAnsi="Arial" w:cs="Arial"/>
          <w:sz w:val="24"/>
        </w:rPr>
      </w:pPr>
      <w:r w:rsidRPr="0098104D">
        <w:rPr>
          <w:rFonts w:ascii="Arial" w:hAnsi="Arial" w:cs="Arial"/>
          <w:sz w:val="24"/>
        </w:rPr>
        <w:t>El 21 de junio de 2019, se llevó a cabo la XXXV sesión ordinaria del Consejo Estatal de Seguridad Pública. Al respecto, es importante mencionar que este, en términos de los artículos 13, 14 y 15 de la Ley del Sistema Estatal de Seguridad Pública, debe estar integrado por el gobernador; los titulares de la Secretaría General de Gobierno, la Secretaría de Seguridad Pública y la Fiscalía General del Estado; los presidentes municipales de cada una de las cabeceras de las regiones de seguridad del estado, el secretario ejecutivo del Sistema Estatal de Seguridad Pública; y puede contar con la participación, como invitados permanentes, del presidente de la Comisión de Derechos Humanos del Estado de Yucatán; del presidente de la comisión del Congreso del estado relacionada con la seguridad pública; y de tres representantes de los sectores privado o social; y, como invitados, de servidores públicos, representantes o personas que puedan ser de utilidad para el consejo.</w:t>
      </w:r>
    </w:p>
    <w:p w:rsidR="003E7314" w:rsidRPr="0098104D" w:rsidRDefault="003E7314" w:rsidP="003E7314">
      <w:pPr>
        <w:spacing w:before="100" w:beforeAutospacing="1" w:after="100" w:afterAutospacing="1" w:line="240" w:lineRule="auto"/>
        <w:jc w:val="both"/>
        <w:rPr>
          <w:rFonts w:ascii="Arial" w:hAnsi="Arial" w:cs="Arial"/>
          <w:sz w:val="24"/>
        </w:rPr>
      </w:pPr>
      <w:r w:rsidRPr="0098104D">
        <w:rPr>
          <w:rFonts w:ascii="Arial" w:hAnsi="Arial" w:cs="Arial"/>
          <w:sz w:val="24"/>
        </w:rPr>
        <w:t>En tal virtud, en la sesión ordinaria referida, el Consejo Estatal de Seguridad Pública, mediante Acuerdo XXXV.01.19, determinó invitar, de manera permanente, a los titulares de la Comisión de Derechos Humanos del Estado de Yucatán y de la Comisión Permanente de Justicia y Seguridad del Congreso del Estado de Yucatán, así como a los presidentes del Consejo Coordinador Empresarial, del Centro Empresarial de Mérida, de la Cámara Nacional de la Industria de la Transformación, Delegación Yucatán, y de la Cámara Nacional de Comercio, Servicios y Turismo de Mérida.</w:t>
      </w:r>
    </w:p>
    <w:p w:rsidR="003E7314" w:rsidRPr="0098104D" w:rsidRDefault="003E7314" w:rsidP="003E7314">
      <w:pPr>
        <w:spacing w:before="100" w:beforeAutospacing="1" w:after="100" w:afterAutospacing="1" w:line="240" w:lineRule="auto"/>
        <w:jc w:val="both"/>
        <w:rPr>
          <w:rFonts w:ascii="Arial" w:hAnsi="Arial" w:cs="Arial"/>
          <w:sz w:val="24"/>
        </w:rPr>
      </w:pPr>
      <w:r w:rsidRPr="0098104D">
        <w:rPr>
          <w:rFonts w:ascii="Arial" w:hAnsi="Arial" w:cs="Arial"/>
          <w:sz w:val="24"/>
        </w:rPr>
        <w:t>Asimismo, el Consejo Estatal de Seguridad Pública acordó invitar al comandante de la X Región Militar, al comandante de la 32ª Zona Militar, al comandante de la IX Zona Naval, al delegado estatal de la Fiscalía General de la República, al coordinador estatal de la Policía Federal en Yucatán, al jefe de estación del Centro Nacional de Inteligencia en Yucatán y al presidente del Tribunal Superior de Justicia y del Consejo de la Judicatura del Poder Judicial del estado.</w:t>
      </w:r>
    </w:p>
    <w:p w:rsidR="003E7314" w:rsidRPr="0098104D" w:rsidRDefault="003E7314" w:rsidP="003E7314">
      <w:pPr>
        <w:spacing w:before="100" w:beforeAutospacing="1" w:after="100" w:afterAutospacing="1" w:line="240" w:lineRule="auto"/>
        <w:jc w:val="both"/>
        <w:rPr>
          <w:rFonts w:ascii="Arial" w:hAnsi="Arial" w:cs="Arial"/>
          <w:sz w:val="24"/>
        </w:rPr>
      </w:pPr>
      <w:r w:rsidRPr="0098104D">
        <w:rPr>
          <w:rFonts w:ascii="Arial" w:hAnsi="Arial" w:cs="Arial"/>
          <w:sz w:val="24"/>
        </w:rPr>
        <w:t>Por consiguiente, el Consejo Estatal de Seguridad Pública quedó conformado por autoridades en materia de seguridad y justicia, pero también por representantes de la sociedad civil; esto, para permitir la toma de acuerdos plurales y representativos para el beneficio de Yucatán.</w:t>
      </w:r>
    </w:p>
    <w:p w:rsidR="003E7314" w:rsidRPr="0098104D" w:rsidRDefault="003E7314" w:rsidP="003E7314">
      <w:pPr>
        <w:spacing w:before="100" w:beforeAutospacing="1" w:after="100" w:afterAutospacing="1" w:line="240" w:lineRule="auto"/>
        <w:jc w:val="both"/>
        <w:rPr>
          <w:rFonts w:ascii="Arial" w:hAnsi="Arial" w:cs="Arial"/>
          <w:sz w:val="24"/>
        </w:rPr>
      </w:pPr>
      <w:r w:rsidRPr="0098104D">
        <w:rPr>
          <w:rFonts w:ascii="Arial" w:hAnsi="Arial" w:cs="Arial"/>
          <w:sz w:val="24"/>
        </w:rPr>
        <w:t>De esta manera, con el acuerdo de los representantes de los sectores público, privado y social, el Consejo Estatal de Seguridad Pública, mediante Acuerdo XXXV.06.19, aprobó por unanimidad la implementación del programa “Yucatán Seguro”, presentado por el titular del Poder Ejecutivo, y autorizó la presentación de la iniciativa que se somete a consideración de esta legislatura.</w:t>
      </w:r>
    </w:p>
    <w:p w:rsidR="00E13417" w:rsidRPr="0098104D" w:rsidRDefault="00F1763F" w:rsidP="005F5A31">
      <w:pPr>
        <w:spacing w:before="100" w:beforeAutospacing="1" w:after="100" w:afterAutospacing="1" w:line="240" w:lineRule="auto"/>
        <w:jc w:val="both"/>
        <w:rPr>
          <w:rFonts w:ascii="Arial" w:hAnsi="Arial" w:cs="Arial"/>
          <w:b/>
          <w:i/>
          <w:sz w:val="24"/>
        </w:rPr>
      </w:pPr>
      <w:r w:rsidRPr="0098104D">
        <w:rPr>
          <w:rFonts w:ascii="Arial" w:hAnsi="Arial" w:cs="Arial"/>
          <w:b/>
          <w:i/>
          <w:sz w:val="24"/>
        </w:rPr>
        <w:t>Contenido de la iniciativa</w:t>
      </w:r>
    </w:p>
    <w:p w:rsidR="00EF342A" w:rsidRPr="0098104D" w:rsidRDefault="00E858DC" w:rsidP="00EA7824">
      <w:pPr>
        <w:spacing w:before="100" w:beforeAutospacing="1" w:after="100" w:afterAutospacing="1" w:line="240" w:lineRule="auto"/>
        <w:jc w:val="both"/>
        <w:rPr>
          <w:rFonts w:ascii="Arial" w:hAnsi="Arial" w:cs="Arial"/>
          <w:sz w:val="24"/>
        </w:rPr>
      </w:pPr>
      <w:r w:rsidRPr="0098104D">
        <w:rPr>
          <w:rFonts w:ascii="Arial" w:hAnsi="Arial" w:cs="Arial"/>
          <w:sz w:val="24"/>
        </w:rPr>
        <w:t>La iniciativa que se presenta est</w:t>
      </w:r>
      <w:r w:rsidR="00EA7824" w:rsidRPr="0098104D">
        <w:rPr>
          <w:rFonts w:ascii="Arial" w:hAnsi="Arial" w:cs="Arial"/>
          <w:sz w:val="24"/>
        </w:rPr>
        <w:t>á integrada por dos artículos: e</w:t>
      </w:r>
      <w:r w:rsidRPr="0098104D">
        <w:rPr>
          <w:rFonts w:ascii="Arial" w:hAnsi="Arial" w:cs="Arial"/>
          <w:sz w:val="24"/>
        </w:rPr>
        <w:t>l primero preten</w:t>
      </w:r>
      <w:r w:rsidR="00293441" w:rsidRPr="0098104D">
        <w:rPr>
          <w:rFonts w:ascii="Arial" w:hAnsi="Arial" w:cs="Arial"/>
          <w:sz w:val="24"/>
        </w:rPr>
        <w:t xml:space="preserve">de autorizar al Poder Ejecutivo </w:t>
      </w:r>
      <w:r w:rsidRPr="0098104D">
        <w:rPr>
          <w:rFonts w:ascii="Arial" w:hAnsi="Arial" w:cs="Arial"/>
          <w:sz w:val="24"/>
        </w:rPr>
        <w:t xml:space="preserve">para contratar </w:t>
      </w:r>
      <w:r w:rsidR="00EA7824" w:rsidRPr="0098104D">
        <w:rPr>
          <w:rFonts w:ascii="Arial" w:hAnsi="Arial" w:cs="Arial"/>
          <w:sz w:val="24"/>
        </w:rPr>
        <w:t xml:space="preserve">deuda pública vía uno o varios financiamientos que incrementen el monto del endeudamiento neto adicional y el segundo pretende </w:t>
      </w:r>
      <w:r w:rsidRPr="0098104D">
        <w:rPr>
          <w:rFonts w:ascii="Arial" w:hAnsi="Arial" w:cs="Arial"/>
          <w:sz w:val="24"/>
        </w:rPr>
        <w:t xml:space="preserve">modificar la Ley de Ingresos del Estado de Yucatán para el Ejercicio Fiscal 2019, </w:t>
      </w:r>
      <w:r w:rsidR="00446267" w:rsidRPr="0098104D">
        <w:rPr>
          <w:rFonts w:ascii="Arial" w:hAnsi="Arial" w:cs="Arial"/>
          <w:sz w:val="24"/>
        </w:rPr>
        <w:t xml:space="preserve">a efecto de </w:t>
      </w:r>
      <w:r w:rsidRPr="0098104D">
        <w:rPr>
          <w:rFonts w:ascii="Arial" w:hAnsi="Arial" w:cs="Arial"/>
          <w:sz w:val="24"/>
        </w:rPr>
        <w:t>ajustar el monto de los ingresos derivados de financiamientos, que cambiará en virtud de</w:t>
      </w:r>
      <w:r w:rsidR="00446267" w:rsidRPr="0098104D">
        <w:rPr>
          <w:rFonts w:ascii="Arial" w:hAnsi="Arial" w:cs="Arial"/>
          <w:sz w:val="24"/>
        </w:rPr>
        <w:t xml:space="preserve"> la autorización que se realice con motivo de este decreto.</w:t>
      </w:r>
    </w:p>
    <w:p w:rsidR="00B429FD" w:rsidRPr="0098104D" w:rsidRDefault="00EA7824" w:rsidP="00EA7824">
      <w:pPr>
        <w:spacing w:before="100" w:beforeAutospacing="1" w:after="100" w:afterAutospacing="1" w:line="240" w:lineRule="auto"/>
        <w:jc w:val="both"/>
        <w:rPr>
          <w:rFonts w:ascii="Arial" w:hAnsi="Arial" w:cs="Arial"/>
          <w:sz w:val="24"/>
        </w:rPr>
      </w:pPr>
      <w:r w:rsidRPr="0098104D">
        <w:rPr>
          <w:rFonts w:ascii="Arial" w:hAnsi="Arial" w:cs="Arial"/>
          <w:sz w:val="24"/>
        </w:rPr>
        <w:t xml:space="preserve">Con respecto al artículo primero, </w:t>
      </w:r>
      <w:r w:rsidR="00E858DC" w:rsidRPr="0098104D">
        <w:rPr>
          <w:rFonts w:ascii="Arial" w:hAnsi="Arial" w:cs="Arial"/>
          <w:sz w:val="24"/>
        </w:rPr>
        <w:t>se solicita la autorización de la present</w:t>
      </w:r>
      <w:r w:rsidR="00B429FD" w:rsidRPr="0098104D">
        <w:rPr>
          <w:rFonts w:ascii="Arial" w:hAnsi="Arial" w:cs="Arial"/>
          <w:sz w:val="24"/>
        </w:rPr>
        <w:t>e</w:t>
      </w:r>
      <w:r w:rsidR="00E858DC" w:rsidRPr="0098104D">
        <w:rPr>
          <w:rFonts w:ascii="Arial" w:hAnsi="Arial" w:cs="Arial"/>
          <w:sz w:val="24"/>
        </w:rPr>
        <w:t xml:space="preserve"> legislatura para que</w:t>
      </w:r>
      <w:r w:rsidR="00446267" w:rsidRPr="0098104D">
        <w:rPr>
          <w:rFonts w:ascii="Arial" w:hAnsi="Arial" w:cs="Arial"/>
          <w:sz w:val="24"/>
        </w:rPr>
        <w:t xml:space="preserve"> </w:t>
      </w:r>
      <w:r w:rsidR="00E858DC" w:rsidRPr="0098104D">
        <w:rPr>
          <w:rFonts w:ascii="Arial" w:hAnsi="Arial" w:cs="Arial"/>
          <w:sz w:val="24"/>
        </w:rPr>
        <w:t>el Poder Ejecutivo del Estado de Yucatán contrate y ejerza</w:t>
      </w:r>
      <w:r w:rsidRPr="0098104D">
        <w:rPr>
          <w:rFonts w:ascii="Arial" w:hAnsi="Arial" w:cs="Arial"/>
          <w:sz w:val="24"/>
        </w:rPr>
        <w:t xml:space="preserve">, a partir de la entrada en vigor del decreto contenido en esta iniciativa, y hasta el 31 de diciembre de 2020, uno o varios financiamientos con instituciones de crédito de nacionalidad mexicana hasta por la cantidad de </w:t>
      </w:r>
      <w:r w:rsidR="00885F2A" w:rsidRPr="0098104D">
        <w:rPr>
          <w:rFonts w:ascii="Arial" w:hAnsi="Arial" w:cs="Arial"/>
          <w:sz w:val="24"/>
        </w:rPr>
        <w:t>$2,62</w:t>
      </w:r>
      <w:r w:rsidR="00E858DC" w:rsidRPr="0098104D">
        <w:rPr>
          <w:rFonts w:ascii="Arial" w:hAnsi="Arial" w:cs="Arial"/>
          <w:sz w:val="24"/>
        </w:rPr>
        <w:t>0,000,000.00</w:t>
      </w:r>
      <w:r w:rsidR="00293441" w:rsidRPr="0098104D">
        <w:rPr>
          <w:rFonts w:ascii="Arial" w:hAnsi="Arial" w:cs="Arial"/>
          <w:sz w:val="24"/>
        </w:rPr>
        <w:t xml:space="preserve">, para destinarse a </w:t>
      </w:r>
      <w:r w:rsidR="00446267" w:rsidRPr="0098104D">
        <w:rPr>
          <w:rFonts w:ascii="Arial" w:hAnsi="Arial" w:cs="Arial"/>
          <w:sz w:val="24"/>
        </w:rPr>
        <w:t>la implementación del programa “Yucatán Seguro”</w:t>
      </w:r>
      <w:r w:rsidR="00B429FD" w:rsidRPr="0098104D">
        <w:rPr>
          <w:rFonts w:ascii="Arial" w:hAnsi="Arial" w:cs="Arial"/>
          <w:sz w:val="24"/>
        </w:rPr>
        <w:t>.</w:t>
      </w:r>
    </w:p>
    <w:p w:rsidR="00AD02B0" w:rsidRPr="0098104D" w:rsidRDefault="00AD02B0" w:rsidP="00AD02B0">
      <w:pPr>
        <w:spacing w:before="100" w:beforeAutospacing="1" w:after="100" w:afterAutospacing="1" w:line="240" w:lineRule="auto"/>
        <w:jc w:val="both"/>
        <w:rPr>
          <w:rFonts w:ascii="Arial" w:hAnsi="Arial" w:cs="Arial"/>
          <w:sz w:val="24"/>
        </w:rPr>
      </w:pPr>
      <w:r w:rsidRPr="0098104D">
        <w:rPr>
          <w:rFonts w:ascii="Arial" w:hAnsi="Arial" w:cs="Arial"/>
          <w:sz w:val="24"/>
        </w:rPr>
        <w:t>En este sentido, es importante considerar que la Ley de Disciplina Financiera de las Entidades Federativas y los Municipios, en términos de su artículo 23, párrafo primero, dispone que la legislatura local, por el voto de las dos terceras partes de sus miembros presentes, autorizará los montos máximos para la contratación de financiamientos y obligaciones, y, para el otorgamiento de dicha autorización, deberá realizar, previamente, un análisis de la capacidad de pago del ente público a cuyo cargo estaría la deuda pública u obligaciones correspondientes, del destino del financiamiento u obligación y, en su caso, del otorgamiento de recursos como fuente o garantía de pago.</w:t>
      </w:r>
    </w:p>
    <w:p w:rsidR="005123A2" w:rsidRPr="0098104D" w:rsidRDefault="005123A2" w:rsidP="00890F64">
      <w:pPr>
        <w:spacing w:before="100" w:beforeAutospacing="1" w:after="100" w:afterAutospacing="1" w:line="240" w:lineRule="auto"/>
        <w:jc w:val="both"/>
        <w:rPr>
          <w:rFonts w:ascii="Arial" w:hAnsi="Arial" w:cs="Arial"/>
          <w:sz w:val="24"/>
        </w:rPr>
      </w:pPr>
      <w:r w:rsidRPr="0098104D">
        <w:rPr>
          <w:rFonts w:ascii="Arial" w:hAnsi="Arial" w:cs="Arial"/>
          <w:sz w:val="24"/>
        </w:rPr>
        <w:t xml:space="preserve">Asimismo, </w:t>
      </w:r>
      <w:r w:rsidR="00EA7824" w:rsidRPr="0098104D">
        <w:rPr>
          <w:rFonts w:ascii="Arial" w:hAnsi="Arial" w:cs="Arial"/>
          <w:sz w:val="24"/>
        </w:rPr>
        <w:t xml:space="preserve">con esta iniciativa </w:t>
      </w:r>
      <w:r w:rsidRPr="0098104D">
        <w:rPr>
          <w:rFonts w:ascii="Arial" w:hAnsi="Arial" w:cs="Arial"/>
          <w:sz w:val="24"/>
        </w:rPr>
        <w:t xml:space="preserve">se </w:t>
      </w:r>
      <w:r w:rsidR="00446267" w:rsidRPr="0098104D">
        <w:rPr>
          <w:rFonts w:ascii="Arial" w:hAnsi="Arial" w:cs="Arial"/>
          <w:sz w:val="24"/>
        </w:rPr>
        <w:t xml:space="preserve">pretende </w:t>
      </w:r>
      <w:r w:rsidRPr="0098104D">
        <w:rPr>
          <w:rFonts w:ascii="Arial" w:hAnsi="Arial" w:cs="Arial"/>
          <w:sz w:val="24"/>
        </w:rPr>
        <w:t>autoriza</w:t>
      </w:r>
      <w:r w:rsidR="00446267" w:rsidRPr="0098104D">
        <w:rPr>
          <w:rFonts w:ascii="Arial" w:hAnsi="Arial" w:cs="Arial"/>
          <w:sz w:val="24"/>
        </w:rPr>
        <w:t>r</w:t>
      </w:r>
      <w:r w:rsidRPr="0098104D">
        <w:rPr>
          <w:rFonts w:ascii="Arial" w:hAnsi="Arial" w:cs="Arial"/>
          <w:sz w:val="24"/>
        </w:rPr>
        <w:t xml:space="preserve"> al Poder Ejecutivo para que afecte, </w:t>
      </w:r>
      <w:r w:rsidR="00EA7824" w:rsidRPr="0098104D">
        <w:rPr>
          <w:rFonts w:ascii="Arial" w:hAnsi="Arial" w:cs="Arial"/>
          <w:sz w:val="24"/>
        </w:rPr>
        <w:t xml:space="preserve">irrevocablemente, </w:t>
      </w:r>
      <w:r w:rsidRPr="0098104D">
        <w:rPr>
          <w:rFonts w:ascii="Arial" w:hAnsi="Arial" w:cs="Arial"/>
          <w:sz w:val="24"/>
        </w:rPr>
        <w:t>como garantía o fuente de pago de todas y cada una de las obligaciones que se contraigan con motivo de la autorización antes referida, un porcentaje suficiente de los ingresos y derechos que le correspondan al estado de los recursos del Fondo G</w:t>
      </w:r>
      <w:r w:rsidR="00EA7824" w:rsidRPr="0098104D">
        <w:rPr>
          <w:rFonts w:ascii="Arial" w:hAnsi="Arial" w:cs="Arial"/>
          <w:sz w:val="24"/>
        </w:rPr>
        <w:t>eneral de Participaciones a que hace referencia</w:t>
      </w:r>
      <w:r w:rsidR="00446267" w:rsidRPr="0098104D">
        <w:rPr>
          <w:rFonts w:ascii="Arial" w:hAnsi="Arial" w:cs="Arial"/>
          <w:sz w:val="24"/>
        </w:rPr>
        <w:t xml:space="preserve"> </w:t>
      </w:r>
      <w:r w:rsidRPr="0098104D">
        <w:rPr>
          <w:rFonts w:ascii="Arial" w:hAnsi="Arial" w:cs="Arial"/>
          <w:sz w:val="24"/>
        </w:rPr>
        <w:t>la Ley de Coordinación Fiscal federal.</w:t>
      </w:r>
    </w:p>
    <w:p w:rsidR="00293441" w:rsidRPr="0098104D" w:rsidRDefault="00293441" w:rsidP="00890F64">
      <w:pPr>
        <w:spacing w:before="100" w:beforeAutospacing="1" w:after="100" w:afterAutospacing="1" w:line="240" w:lineRule="auto"/>
        <w:jc w:val="both"/>
        <w:rPr>
          <w:rFonts w:ascii="Arial" w:hAnsi="Arial" w:cs="Arial"/>
          <w:sz w:val="24"/>
        </w:rPr>
      </w:pPr>
      <w:r w:rsidRPr="0098104D">
        <w:rPr>
          <w:rFonts w:ascii="Arial" w:hAnsi="Arial" w:cs="Arial"/>
          <w:sz w:val="24"/>
        </w:rPr>
        <w:t>Por último</w:t>
      </w:r>
      <w:r w:rsidR="00AD02B0" w:rsidRPr="0098104D">
        <w:rPr>
          <w:rFonts w:ascii="Arial" w:hAnsi="Arial" w:cs="Arial"/>
          <w:sz w:val="24"/>
        </w:rPr>
        <w:t>, esta</w:t>
      </w:r>
      <w:r w:rsidRPr="0098104D">
        <w:rPr>
          <w:rFonts w:ascii="Arial" w:hAnsi="Arial" w:cs="Arial"/>
          <w:sz w:val="24"/>
        </w:rPr>
        <w:t xml:space="preserve"> iniciativa contiene </w:t>
      </w:r>
      <w:r w:rsidR="00446267" w:rsidRPr="0098104D">
        <w:rPr>
          <w:rFonts w:ascii="Arial" w:hAnsi="Arial" w:cs="Arial"/>
          <w:sz w:val="24"/>
        </w:rPr>
        <w:t>cuatro</w:t>
      </w:r>
      <w:r w:rsidRPr="0098104D">
        <w:rPr>
          <w:rFonts w:ascii="Arial" w:hAnsi="Arial" w:cs="Arial"/>
          <w:sz w:val="24"/>
        </w:rPr>
        <w:t xml:space="preserve"> artículos transitorios: entrada en vigor, </w:t>
      </w:r>
      <w:r w:rsidR="00446267" w:rsidRPr="0098104D">
        <w:rPr>
          <w:rFonts w:ascii="Arial" w:hAnsi="Arial" w:cs="Arial"/>
          <w:sz w:val="24"/>
        </w:rPr>
        <w:t xml:space="preserve">inscripción en el registro, </w:t>
      </w:r>
      <w:r w:rsidRPr="0098104D">
        <w:rPr>
          <w:rFonts w:ascii="Arial" w:hAnsi="Arial" w:cs="Arial"/>
          <w:sz w:val="24"/>
        </w:rPr>
        <w:t>adecuaciones presupuestales e informes trimestrales.</w:t>
      </w:r>
    </w:p>
    <w:p w:rsidR="00AD02B0" w:rsidRPr="0098104D" w:rsidRDefault="00AD02B0" w:rsidP="00890F64">
      <w:pPr>
        <w:spacing w:before="100" w:beforeAutospacing="1" w:after="100" w:afterAutospacing="1" w:line="240" w:lineRule="auto"/>
        <w:jc w:val="both"/>
        <w:rPr>
          <w:rFonts w:ascii="Arial" w:hAnsi="Arial" w:cs="Arial"/>
          <w:b/>
          <w:i/>
          <w:sz w:val="24"/>
        </w:rPr>
      </w:pPr>
      <w:r w:rsidRPr="0098104D">
        <w:rPr>
          <w:rFonts w:ascii="Arial" w:hAnsi="Arial" w:cs="Arial"/>
          <w:b/>
          <w:i/>
          <w:sz w:val="24"/>
        </w:rPr>
        <w:t>Consideraciones finales</w:t>
      </w:r>
    </w:p>
    <w:p w:rsidR="00AD02B0" w:rsidRPr="0098104D" w:rsidRDefault="001522ED" w:rsidP="001522ED">
      <w:pPr>
        <w:spacing w:before="100" w:beforeAutospacing="1" w:after="100" w:afterAutospacing="1" w:line="240" w:lineRule="auto"/>
        <w:jc w:val="both"/>
        <w:rPr>
          <w:rFonts w:ascii="Arial" w:hAnsi="Arial" w:cs="Arial"/>
          <w:sz w:val="24"/>
        </w:rPr>
      </w:pPr>
      <w:r w:rsidRPr="0098104D">
        <w:rPr>
          <w:rFonts w:ascii="Arial" w:hAnsi="Arial" w:cs="Arial"/>
          <w:sz w:val="24"/>
        </w:rPr>
        <w:t xml:space="preserve">Yucatán es un estado de paz. El clima de seguridad que se vive en él </w:t>
      </w:r>
      <w:r w:rsidR="00AD02B0" w:rsidRPr="0098104D">
        <w:rPr>
          <w:rFonts w:ascii="Arial" w:hAnsi="Arial" w:cs="Arial"/>
          <w:sz w:val="24"/>
        </w:rPr>
        <w:t>no solo tiene beneficios a nivel social como, por ejemplo, el crecimiento económico, sino también a nivel personal, pues permite a sus habitantes disfrutar de una vida libre</w:t>
      </w:r>
      <w:r w:rsidRPr="0098104D">
        <w:rPr>
          <w:rFonts w:ascii="Arial" w:hAnsi="Arial" w:cs="Arial"/>
          <w:sz w:val="24"/>
        </w:rPr>
        <w:t>, orientada hacia la prosperidad y la felicidad.</w:t>
      </w:r>
    </w:p>
    <w:p w:rsidR="00AD02B0" w:rsidRPr="0098104D" w:rsidRDefault="00AD02B0" w:rsidP="00890F64">
      <w:pPr>
        <w:spacing w:before="100" w:beforeAutospacing="1" w:after="100" w:afterAutospacing="1" w:line="240" w:lineRule="auto"/>
        <w:jc w:val="both"/>
        <w:rPr>
          <w:rFonts w:ascii="Arial" w:hAnsi="Arial" w:cs="Arial"/>
          <w:sz w:val="24"/>
        </w:rPr>
      </w:pPr>
      <w:r w:rsidRPr="0098104D">
        <w:rPr>
          <w:rFonts w:ascii="Arial" w:hAnsi="Arial" w:cs="Arial"/>
          <w:sz w:val="24"/>
        </w:rPr>
        <w:t xml:space="preserve">La seguridad de Yucatán ha sido un logro conjunto entre </w:t>
      </w:r>
      <w:r w:rsidR="00FF468A" w:rsidRPr="0098104D">
        <w:rPr>
          <w:rFonts w:ascii="Arial" w:hAnsi="Arial" w:cs="Arial"/>
          <w:sz w:val="24"/>
        </w:rPr>
        <w:t>sociedad y gobierno</w:t>
      </w:r>
      <w:r w:rsidRPr="0098104D">
        <w:rPr>
          <w:rFonts w:ascii="Arial" w:hAnsi="Arial" w:cs="Arial"/>
          <w:sz w:val="24"/>
        </w:rPr>
        <w:t xml:space="preserve"> que ha costado mucho y que, si no se cuida, se puede perder.</w:t>
      </w:r>
    </w:p>
    <w:p w:rsidR="00AD02B0" w:rsidRPr="0098104D" w:rsidRDefault="00AD02B0" w:rsidP="00890F64">
      <w:pPr>
        <w:spacing w:before="100" w:beforeAutospacing="1" w:after="100" w:afterAutospacing="1" w:line="240" w:lineRule="auto"/>
        <w:jc w:val="both"/>
        <w:rPr>
          <w:rFonts w:ascii="Arial" w:hAnsi="Arial" w:cs="Arial"/>
          <w:sz w:val="24"/>
        </w:rPr>
      </w:pPr>
      <w:r w:rsidRPr="0098104D">
        <w:rPr>
          <w:rFonts w:ascii="Arial" w:hAnsi="Arial" w:cs="Arial"/>
          <w:sz w:val="24"/>
        </w:rPr>
        <w:t>Hoy, Yucatán presenta un acelerado crecimiento demográfico que compromete las capacidades de respuesta institucional y el buen funcionamiento de la sociedad</w:t>
      </w:r>
      <w:r w:rsidR="00565C36" w:rsidRPr="0098104D">
        <w:rPr>
          <w:rFonts w:ascii="Arial" w:hAnsi="Arial" w:cs="Arial"/>
          <w:sz w:val="24"/>
        </w:rPr>
        <w:t>.</w:t>
      </w:r>
    </w:p>
    <w:p w:rsidR="00565C36" w:rsidRPr="0098104D" w:rsidRDefault="00565C36" w:rsidP="00890F64">
      <w:pPr>
        <w:spacing w:before="100" w:beforeAutospacing="1" w:after="100" w:afterAutospacing="1" w:line="240" w:lineRule="auto"/>
        <w:jc w:val="both"/>
        <w:rPr>
          <w:rFonts w:ascii="Arial" w:hAnsi="Arial" w:cs="Arial"/>
          <w:sz w:val="24"/>
        </w:rPr>
      </w:pPr>
      <w:r w:rsidRPr="0098104D">
        <w:rPr>
          <w:rFonts w:ascii="Arial" w:hAnsi="Arial" w:cs="Arial"/>
          <w:sz w:val="24"/>
        </w:rPr>
        <w:t>Por otro lado, la seguridad del estado</w:t>
      </w:r>
      <w:r w:rsidR="006E6ECE" w:rsidRPr="0098104D">
        <w:rPr>
          <w:rFonts w:ascii="Arial" w:hAnsi="Arial" w:cs="Arial"/>
          <w:sz w:val="24"/>
        </w:rPr>
        <w:t>, si bien se ha logrado mantener,</w:t>
      </w:r>
      <w:r w:rsidRPr="0098104D">
        <w:rPr>
          <w:rFonts w:ascii="Arial" w:hAnsi="Arial" w:cs="Arial"/>
          <w:sz w:val="24"/>
        </w:rPr>
        <w:t xml:space="preserve"> se ve amenazada por el contexto de inseguridad que se vive en el país, en general, y, particularmente, en estados vecinos, donde la delincuencia se ha apoderado de ciudades en las cuales ya es muy difícil disfrutar de una vida digna.</w:t>
      </w:r>
    </w:p>
    <w:p w:rsidR="00565C36" w:rsidRPr="0098104D" w:rsidRDefault="00565C36" w:rsidP="00890F64">
      <w:pPr>
        <w:spacing w:before="100" w:beforeAutospacing="1" w:after="100" w:afterAutospacing="1" w:line="240" w:lineRule="auto"/>
        <w:jc w:val="both"/>
        <w:rPr>
          <w:rFonts w:ascii="Arial" w:hAnsi="Arial" w:cs="Arial"/>
          <w:sz w:val="24"/>
        </w:rPr>
      </w:pPr>
      <w:r w:rsidRPr="0098104D">
        <w:rPr>
          <w:rFonts w:ascii="Arial" w:hAnsi="Arial" w:cs="Arial"/>
          <w:sz w:val="24"/>
        </w:rPr>
        <w:t>Lo que no se cuida, se pierde. De tal suerte que, si no cuidamos nuestra seguridad, muy probablemente la perderemos. Y</w:t>
      </w:r>
      <w:r w:rsidR="003D4554" w:rsidRPr="0098104D">
        <w:rPr>
          <w:rFonts w:ascii="Arial" w:hAnsi="Arial" w:cs="Arial"/>
          <w:sz w:val="24"/>
        </w:rPr>
        <w:t xml:space="preserve"> si la perdemos, seguramente perderemos también el crecimiento económico y el desarrol</w:t>
      </w:r>
      <w:r w:rsidR="00FF468A" w:rsidRPr="0098104D">
        <w:rPr>
          <w:rFonts w:ascii="Arial" w:hAnsi="Arial" w:cs="Arial"/>
          <w:sz w:val="24"/>
        </w:rPr>
        <w:t xml:space="preserve">lo social que hemos conseguido </w:t>
      </w:r>
      <w:r w:rsidR="003D4554" w:rsidRPr="0098104D">
        <w:rPr>
          <w:rFonts w:ascii="Arial" w:hAnsi="Arial" w:cs="Arial"/>
          <w:sz w:val="24"/>
        </w:rPr>
        <w:t xml:space="preserve">a partir de </w:t>
      </w:r>
      <w:r w:rsidR="0086220C" w:rsidRPr="0098104D">
        <w:rPr>
          <w:rFonts w:ascii="Arial" w:hAnsi="Arial" w:cs="Arial"/>
          <w:sz w:val="24"/>
        </w:rPr>
        <w:t xml:space="preserve">muchos </w:t>
      </w:r>
      <w:r w:rsidR="003D4554" w:rsidRPr="0098104D">
        <w:rPr>
          <w:rFonts w:ascii="Arial" w:hAnsi="Arial" w:cs="Arial"/>
          <w:sz w:val="24"/>
        </w:rPr>
        <w:t>años de trabajo.</w:t>
      </w:r>
    </w:p>
    <w:p w:rsidR="00565C36" w:rsidRPr="0098104D" w:rsidRDefault="00565C36" w:rsidP="00890F64">
      <w:pPr>
        <w:spacing w:before="100" w:beforeAutospacing="1" w:after="100" w:afterAutospacing="1" w:line="240" w:lineRule="auto"/>
        <w:jc w:val="both"/>
        <w:rPr>
          <w:rFonts w:ascii="Arial" w:hAnsi="Arial" w:cs="Arial"/>
          <w:sz w:val="24"/>
        </w:rPr>
      </w:pPr>
      <w:r w:rsidRPr="0098104D">
        <w:rPr>
          <w:rFonts w:ascii="Arial" w:hAnsi="Arial" w:cs="Arial"/>
          <w:sz w:val="24"/>
        </w:rPr>
        <w:t>Los fenómenos sociales por los cuales atraviesa Yucatán nos ponen en un momento crucial</w:t>
      </w:r>
      <w:r w:rsidR="006E6ECE" w:rsidRPr="0098104D">
        <w:rPr>
          <w:rFonts w:ascii="Arial" w:hAnsi="Arial" w:cs="Arial"/>
          <w:sz w:val="24"/>
        </w:rPr>
        <w:t xml:space="preserve">, histórico, </w:t>
      </w:r>
      <w:r w:rsidRPr="0098104D">
        <w:rPr>
          <w:rFonts w:ascii="Arial" w:hAnsi="Arial" w:cs="Arial"/>
          <w:sz w:val="24"/>
        </w:rPr>
        <w:t>que amerita la toma de decisione</w:t>
      </w:r>
      <w:r w:rsidR="00FF468A" w:rsidRPr="0098104D">
        <w:rPr>
          <w:rFonts w:ascii="Arial" w:hAnsi="Arial" w:cs="Arial"/>
          <w:sz w:val="24"/>
        </w:rPr>
        <w:t xml:space="preserve">s de gran trascendencia. La paz futura </w:t>
      </w:r>
      <w:r w:rsidRPr="0098104D">
        <w:rPr>
          <w:rFonts w:ascii="Arial" w:hAnsi="Arial" w:cs="Arial"/>
          <w:sz w:val="24"/>
        </w:rPr>
        <w:t>recae en las autoridades del presente. Por eso, tenemos una responsabilidad que nos obliga a implementar esfuerzos sin precedentes</w:t>
      </w:r>
      <w:r w:rsidR="003D4554" w:rsidRPr="0098104D">
        <w:rPr>
          <w:rFonts w:ascii="Arial" w:hAnsi="Arial" w:cs="Arial"/>
          <w:sz w:val="24"/>
        </w:rPr>
        <w:t xml:space="preserve"> para el logro de un solo objetivo: el bienestar de Yucatán.</w:t>
      </w:r>
    </w:p>
    <w:p w:rsidR="00E858DC" w:rsidRPr="0098104D" w:rsidRDefault="0086220C" w:rsidP="00890F64">
      <w:pPr>
        <w:spacing w:before="100" w:beforeAutospacing="1" w:after="100" w:afterAutospacing="1" w:line="240" w:lineRule="auto"/>
        <w:jc w:val="both"/>
        <w:rPr>
          <w:rFonts w:ascii="Arial" w:hAnsi="Arial" w:cs="Arial"/>
          <w:sz w:val="24"/>
        </w:rPr>
      </w:pPr>
      <w:r w:rsidRPr="0098104D">
        <w:rPr>
          <w:rFonts w:ascii="Arial" w:hAnsi="Arial" w:cs="Arial"/>
          <w:sz w:val="24"/>
        </w:rPr>
        <w:t xml:space="preserve">Por consiguiente, el Poder Ejecutivo ha diseñado y pretende implementar el programa “Yucatán Seguro”. Con él, </w:t>
      </w:r>
      <w:r w:rsidR="003D4554" w:rsidRPr="0098104D">
        <w:rPr>
          <w:rFonts w:ascii="Arial" w:hAnsi="Arial" w:cs="Arial"/>
          <w:sz w:val="24"/>
        </w:rPr>
        <w:t xml:space="preserve">será posible </w:t>
      </w:r>
      <w:r w:rsidR="007515D7" w:rsidRPr="0098104D">
        <w:rPr>
          <w:rFonts w:ascii="Arial" w:hAnsi="Arial" w:cs="Arial"/>
          <w:sz w:val="24"/>
        </w:rPr>
        <w:t xml:space="preserve">fortalecer las capacidades </w:t>
      </w:r>
      <w:r w:rsidRPr="0098104D">
        <w:rPr>
          <w:rFonts w:ascii="Arial" w:hAnsi="Arial" w:cs="Arial"/>
          <w:sz w:val="24"/>
        </w:rPr>
        <w:t>institucionales de seguridad</w:t>
      </w:r>
      <w:r w:rsidR="007515D7" w:rsidRPr="0098104D">
        <w:rPr>
          <w:rFonts w:ascii="Arial" w:hAnsi="Arial" w:cs="Arial"/>
          <w:sz w:val="24"/>
        </w:rPr>
        <w:t xml:space="preserve"> para hacer frente</w:t>
      </w:r>
      <w:r w:rsidRPr="0098104D">
        <w:rPr>
          <w:rFonts w:ascii="Arial" w:hAnsi="Arial" w:cs="Arial"/>
          <w:sz w:val="24"/>
        </w:rPr>
        <w:t xml:space="preserve"> </w:t>
      </w:r>
      <w:r w:rsidR="007515D7" w:rsidRPr="0098104D">
        <w:rPr>
          <w:rFonts w:ascii="Arial" w:hAnsi="Arial" w:cs="Arial"/>
          <w:sz w:val="24"/>
        </w:rPr>
        <w:t>a las conductas</w:t>
      </w:r>
      <w:r w:rsidRPr="0098104D">
        <w:rPr>
          <w:rFonts w:ascii="Arial" w:hAnsi="Arial" w:cs="Arial"/>
          <w:sz w:val="24"/>
        </w:rPr>
        <w:t>, presentes y futuras,</w:t>
      </w:r>
      <w:r w:rsidR="007515D7" w:rsidRPr="0098104D">
        <w:rPr>
          <w:rFonts w:ascii="Arial" w:hAnsi="Arial" w:cs="Arial"/>
          <w:sz w:val="24"/>
        </w:rPr>
        <w:t xml:space="preserve"> que amenazan la paz y la tranquilidad, tesoros invaluables </w:t>
      </w:r>
      <w:r w:rsidRPr="0098104D">
        <w:rPr>
          <w:rFonts w:ascii="Arial" w:hAnsi="Arial" w:cs="Arial"/>
          <w:sz w:val="24"/>
        </w:rPr>
        <w:t>de todos los yucatecos.</w:t>
      </w:r>
    </w:p>
    <w:p w:rsidR="007515D7" w:rsidRPr="0098104D" w:rsidRDefault="007515D7" w:rsidP="00890F64">
      <w:pPr>
        <w:spacing w:before="100" w:beforeAutospacing="1" w:after="100" w:afterAutospacing="1" w:line="240" w:lineRule="auto"/>
        <w:jc w:val="both"/>
        <w:rPr>
          <w:rFonts w:ascii="Arial" w:hAnsi="Arial" w:cs="Arial"/>
          <w:sz w:val="24"/>
        </w:rPr>
      </w:pPr>
      <w:r w:rsidRPr="0098104D">
        <w:rPr>
          <w:rFonts w:ascii="Arial" w:hAnsi="Arial" w:cs="Arial"/>
          <w:sz w:val="24"/>
        </w:rPr>
        <w:t>En virtud de lo anterior, y en ejercicio de la facultad que me confiere el artículo 35, fracción II, de la Constitución Política del Estado de Yucatán, someto a su consideración la siguiente:</w:t>
      </w:r>
    </w:p>
    <w:p w:rsidR="00BC35D2" w:rsidRPr="0098104D" w:rsidRDefault="00BC35D2" w:rsidP="00BC35D2">
      <w:pPr>
        <w:spacing w:before="100" w:beforeAutospacing="1" w:after="100" w:afterAutospacing="1" w:line="240" w:lineRule="auto"/>
        <w:jc w:val="both"/>
        <w:rPr>
          <w:rFonts w:ascii="Arial" w:hAnsi="Arial" w:cs="Arial"/>
          <w:b/>
          <w:sz w:val="24"/>
        </w:rPr>
      </w:pPr>
      <w:r w:rsidRPr="0098104D">
        <w:rPr>
          <w:rFonts w:ascii="Arial" w:hAnsi="Arial" w:cs="Arial"/>
          <w:b/>
          <w:sz w:val="24"/>
        </w:rPr>
        <w:t>Iniciativa de 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p>
    <w:p w:rsidR="0008752F" w:rsidRPr="0098104D" w:rsidRDefault="0008752F" w:rsidP="0008752F">
      <w:pPr>
        <w:spacing w:before="100" w:beforeAutospacing="1" w:after="100" w:afterAutospacing="1" w:line="240" w:lineRule="auto"/>
        <w:jc w:val="both"/>
        <w:rPr>
          <w:rFonts w:ascii="Arial" w:hAnsi="Arial" w:cs="Arial"/>
          <w:sz w:val="24"/>
        </w:rPr>
      </w:pPr>
      <w:r w:rsidRPr="0098104D">
        <w:rPr>
          <w:rFonts w:ascii="Arial" w:hAnsi="Arial" w:cs="Arial"/>
          <w:b/>
          <w:sz w:val="24"/>
        </w:rPr>
        <w:t>Artículo primero.</w:t>
      </w:r>
      <w:r w:rsidRPr="0098104D">
        <w:rPr>
          <w:rFonts w:ascii="Arial" w:hAnsi="Arial" w:cs="Arial"/>
          <w:sz w:val="24"/>
        </w:rPr>
        <w:t xml:space="preserve"> Se autoriza al Poder Ejecutivo del Estado de Yucatán para contratar deuda pública vía uno o varios financiamientos que incrementen el monto del endeudamiento neto adicional, de conformidad con lo siguiente:</w:t>
      </w:r>
    </w:p>
    <w:p w:rsidR="0008752F" w:rsidRPr="0098104D" w:rsidRDefault="0008752F" w:rsidP="0008752F">
      <w:pPr>
        <w:spacing w:before="100" w:beforeAutospacing="1" w:after="100" w:afterAutospacing="1" w:line="240" w:lineRule="auto"/>
        <w:jc w:val="both"/>
        <w:rPr>
          <w:rFonts w:ascii="Arial" w:hAnsi="Arial" w:cs="Arial"/>
          <w:b/>
          <w:sz w:val="24"/>
        </w:rPr>
      </w:pPr>
      <w:r w:rsidRPr="0098104D">
        <w:rPr>
          <w:rFonts w:ascii="Arial" w:hAnsi="Arial" w:cs="Arial"/>
          <w:b/>
          <w:sz w:val="24"/>
        </w:rPr>
        <w:t>Artículo 1. Autorización</w:t>
      </w:r>
    </w:p>
    <w:p w:rsidR="0008752F" w:rsidRPr="0098104D" w:rsidRDefault="0008752F" w:rsidP="0008752F">
      <w:pPr>
        <w:spacing w:before="100" w:beforeAutospacing="1" w:after="100" w:afterAutospacing="1" w:line="240" w:lineRule="auto"/>
        <w:jc w:val="both"/>
        <w:rPr>
          <w:rFonts w:ascii="Arial" w:hAnsi="Arial" w:cs="Arial"/>
          <w:sz w:val="24"/>
        </w:rPr>
      </w:pPr>
      <w:r w:rsidRPr="0098104D">
        <w:rPr>
          <w:rFonts w:ascii="Arial" w:hAnsi="Arial" w:cs="Arial"/>
          <w:sz w:val="24"/>
        </w:rPr>
        <w:t>Se autoriza al Poder Ejecutivo del Estado de Yucatán para que, a partir de la entrada en vigor de este decreto</w:t>
      </w:r>
      <w:r w:rsidR="006B0EE2" w:rsidRPr="0098104D">
        <w:rPr>
          <w:rFonts w:ascii="Arial" w:hAnsi="Arial" w:cs="Arial"/>
          <w:sz w:val="24"/>
        </w:rPr>
        <w:t xml:space="preserve">, y hasta el </w:t>
      </w:r>
      <w:r w:rsidR="005123A2" w:rsidRPr="0098104D">
        <w:rPr>
          <w:rFonts w:ascii="Arial" w:hAnsi="Arial" w:cs="Arial"/>
          <w:sz w:val="24"/>
        </w:rPr>
        <w:t xml:space="preserve">31 de diciembre de </w:t>
      </w:r>
      <w:r w:rsidR="006B0EE2" w:rsidRPr="0098104D">
        <w:rPr>
          <w:rFonts w:ascii="Arial" w:hAnsi="Arial" w:cs="Arial"/>
          <w:sz w:val="24"/>
        </w:rPr>
        <w:t>2020</w:t>
      </w:r>
      <w:r w:rsidRPr="0098104D">
        <w:rPr>
          <w:rFonts w:ascii="Arial" w:hAnsi="Arial" w:cs="Arial"/>
          <w:sz w:val="24"/>
        </w:rPr>
        <w:t xml:space="preserve">, </w:t>
      </w:r>
      <w:r w:rsidR="006B0EE2" w:rsidRPr="0098104D">
        <w:rPr>
          <w:rFonts w:ascii="Arial" w:hAnsi="Arial" w:cs="Arial"/>
          <w:sz w:val="24"/>
        </w:rPr>
        <w:t xml:space="preserve">contrate y ejerza, </w:t>
      </w:r>
      <w:r w:rsidRPr="0098104D">
        <w:rPr>
          <w:rFonts w:ascii="Arial" w:hAnsi="Arial" w:cs="Arial"/>
          <w:sz w:val="24"/>
        </w:rPr>
        <w:t>por conducto de la Secretarí</w:t>
      </w:r>
      <w:r w:rsidR="006B0EE2" w:rsidRPr="0098104D">
        <w:rPr>
          <w:rFonts w:ascii="Arial" w:hAnsi="Arial" w:cs="Arial"/>
          <w:sz w:val="24"/>
        </w:rPr>
        <w:t xml:space="preserve">a de Administración y Finanzas, </w:t>
      </w:r>
      <w:r w:rsidRPr="0098104D">
        <w:rPr>
          <w:rFonts w:ascii="Arial" w:hAnsi="Arial" w:cs="Arial"/>
          <w:sz w:val="24"/>
        </w:rPr>
        <w:t xml:space="preserve">uno o varios financiamientos </w:t>
      </w:r>
      <w:r w:rsidR="005123A2" w:rsidRPr="0098104D">
        <w:rPr>
          <w:rFonts w:ascii="Arial" w:hAnsi="Arial" w:cs="Arial"/>
          <w:sz w:val="24"/>
        </w:rPr>
        <w:t>con instituciones de crédito de nacionalidad mexicana,</w:t>
      </w:r>
      <w:r w:rsidRPr="0098104D">
        <w:rPr>
          <w:rFonts w:ascii="Arial" w:hAnsi="Arial" w:cs="Arial"/>
          <w:sz w:val="24"/>
        </w:rPr>
        <w:t xml:space="preserve"> hasta por la cantidad </w:t>
      </w:r>
      <w:r w:rsidR="00885F2A" w:rsidRPr="0098104D">
        <w:rPr>
          <w:rFonts w:ascii="Arial" w:hAnsi="Arial" w:cs="Arial"/>
          <w:sz w:val="24"/>
        </w:rPr>
        <w:t>de $2,62</w:t>
      </w:r>
      <w:r w:rsidRPr="0098104D">
        <w:rPr>
          <w:rFonts w:ascii="Arial" w:hAnsi="Arial" w:cs="Arial"/>
          <w:sz w:val="24"/>
        </w:rPr>
        <w:t xml:space="preserve">0,000,000.00 </w:t>
      </w:r>
      <w:r w:rsidR="005123A2" w:rsidRPr="0098104D">
        <w:rPr>
          <w:rFonts w:ascii="Arial" w:hAnsi="Arial" w:cs="Arial"/>
          <w:sz w:val="24"/>
        </w:rPr>
        <w:t>(dos mil seiscientos veinte millones de pesos 00/100 M. N.)</w:t>
      </w:r>
      <w:r w:rsidR="00545B7A" w:rsidRPr="0098104D">
        <w:rPr>
          <w:rFonts w:ascii="Arial" w:hAnsi="Arial" w:cs="Arial"/>
          <w:sz w:val="24"/>
        </w:rPr>
        <w:t xml:space="preserve">, </w:t>
      </w:r>
      <w:r w:rsidRPr="0098104D">
        <w:rPr>
          <w:rFonts w:ascii="Arial" w:hAnsi="Arial" w:cs="Arial"/>
          <w:sz w:val="24"/>
        </w:rPr>
        <w:t>con apego en lo establecido por los artículos 4 y 5 de la Ley de Deuda Pública del Estado de Yucatá</w:t>
      </w:r>
      <w:r w:rsidR="00EF4922" w:rsidRPr="0098104D">
        <w:rPr>
          <w:rFonts w:ascii="Arial" w:hAnsi="Arial" w:cs="Arial"/>
          <w:sz w:val="24"/>
        </w:rPr>
        <w:t>n y los aplicables de la Ley de Disciplina Financiera de las Entidades Federativas y los Municipios, y su reglamentación.</w:t>
      </w:r>
    </w:p>
    <w:p w:rsidR="0008752F" w:rsidRPr="0098104D" w:rsidRDefault="0008752F" w:rsidP="0008752F">
      <w:pPr>
        <w:spacing w:before="100" w:beforeAutospacing="1" w:after="100" w:afterAutospacing="1" w:line="240" w:lineRule="auto"/>
        <w:jc w:val="both"/>
        <w:rPr>
          <w:rFonts w:ascii="Arial" w:hAnsi="Arial" w:cs="Arial"/>
          <w:sz w:val="24"/>
        </w:rPr>
      </w:pPr>
      <w:r w:rsidRPr="0098104D">
        <w:rPr>
          <w:rFonts w:ascii="Arial" w:hAnsi="Arial" w:cs="Arial"/>
          <w:sz w:val="24"/>
        </w:rPr>
        <w:t xml:space="preserve">Los financiamientos a los que se refiere el párrafo anterior </w:t>
      </w:r>
      <w:r w:rsidR="00EF4922" w:rsidRPr="0098104D">
        <w:rPr>
          <w:rFonts w:ascii="Arial" w:hAnsi="Arial" w:cs="Arial"/>
          <w:sz w:val="24"/>
        </w:rPr>
        <w:t xml:space="preserve">de este artículo </w:t>
      </w:r>
      <w:r w:rsidRPr="0098104D">
        <w:rPr>
          <w:rFonts w:ascii="Arial" w:hAnsi="Arial" w:cs="Arial"/>
          <w:sz w:val="24"/>
        </w:rPr>
        <w:t xml:space="preserve">podrán contratarse directamente o a través de un fideicomiso que se constituya </w:t>
      </w:r>
      <w:r w:rsidR="006B0EE2" w:rsidRPr="0098104D">
        <w:rPr>
          <w:rFonts w:ascii="Arial" w:hAnsi="Arial" w:cs="Arial"/>
          <w:sz w:val="24"/>
        </w:rPr>
        <w:t xml:space="preserve">o aplique </w:t>
      </w:r>
      <w:r w:rsidRPr="0098104D">
        <w:rPr>
          <w:rFonts w:ascii="Arial" w:hAnsi="Arial" w:cs="Arial"/>
          <w:sz w:val="24"/>
        </w:rPr>
        <w:t xml:space="preserve">para </w:t>
      </w:r>
      <w:r w:rsidR="006B0EE2" w:rsidRPr="0098104D">
        <w:rPr>
          <w:rFonts w:ascii="Arial" w:hAnsi="Arial" w:cs="Arial"/>
          <w:sz w:val="24"/>
        </w:rPr>
        <w:t>tal efecto.</w:t>
      </w:r>
    </w:p>
    <w:p w:rsidR="0008752F" w:rsidRPr="0098104D" w:rsidRDefault="0008752F" w:rsidP="0008752F">
      <w:pPr>
        <w:spacing w:before="100" w:beforeAutospacing="1" w:after="100" w:afterAutospacing="1" w:line="240" w:lineRule="auto"/>
        <w:jc w:val="both"/>
        <w:rPr>
          <w:rFonts w:ascii="Arial" w:hAnsi="Arial" w:cs="Arial"/>
          <w:sz w:val="24"/>
        </w:rPr>
      </w:pPr>
      <w:r w:rsidRPr="0098104D">
        <w:rPr>
          <w:rFonts w:ascii="Arial" w:hAnsi="Arial" w:cs="Arial"/>
          <w:sz w:val="24"/>
        </w:rPr>
        <w:t xml:space="preserve">La contratación del </w:t>
      </w:r>
      <w:r w:rsidR="00EF4922" w:rsidRPr="0098104D">
        <w:rPr>
          <w:rFonts w:ascii="Arial" w:hAnsi="Arial" w:cs="Arial"/>
          <w:sz w:val="24"/>
        </w:rPr>
        <w:t xml:space="preserve">o </w:t>
      </w:r>
      <w:r w:rsidRPr="0098104D">
        <w:rPr>
          <w:rFonts w:ascii="Arial" w:hAnsi="Arial" w:cs="Arial"/>
          <w:sz w:val="24"/>
        </w:rPr>
        <w:t>los financiamientos antes mencionados, en todo caso, deberá llevarse a cabo en las mejores condiciones de mercado posibles, para lo cual el Poder Ejecutivo del Estado de Yucatán, directamente o a través de asesores externos, implementará un proceso competitivo</w:t>
      </w:r>
      <w:r w:rsidR="00EF4922" w:rsidRPr="0098104D">
        <w:rPr>
          <w:rFonts w:ascii="Arial" w:hAnsi="Arial" w:cs="Arial"/>
          <w:sz w:val="24"/>
        </w:rPr>
        <w:t>, mediante licitación pública</w:t>
      </w:r>
      <w:r w:rsidRPr="0098104D">
        <w:rPr>
          <w:rFonts w:ascii="Arial" w:hAnsi="Arial" w:cs="Arial"/>
          <w:sz w:val="24"/>
        </w:rPr>
        <w:t xml:space="preserve">. El </w:t>
      </w:r>
      <w:r w:rsidR="00EF4922" w:rsidRPr="0098104D">
        <w:rPr>
          <w:rFonts w:ascii="Arial" w:hAnsi="Arial" w:cs="Arial"/>
          <w:sz w:val="24"/>
        </w:rPr>
        <w:t xml:space="preserve">o los </w:t>
      </w:r>
      <w:r w:rsidRPr="0098104D">
        <w:rPr>
          <w:rFonts w:ascii="Arial" w:hAnsi="Arial" w:cs="Arial"/>
          <w:sz w:val="24"/>
        </w:rPr>
        <w:t>financiamiento</w:t>
      </w:r>
      <w:r w:rsidR="00EF4922" w:rsidRPr="0098104D">
        <w:rPr>
          <w:rFonts w:ascii="Arial" w:hAnsi="Arial" w:cs="Arial"/>
          <w:sz w:val="24"/>
        </w:rPr>
        <w:t>s</w:t>
      </w:r>
      <w:r w:rsidRPr="0098104D">
        <w:rPr>
          <w:rFonts w:ascii="Arial" w:hAnsi="Arial" w:cs="Arial"/>
          <w:sz w:val="24"/>
        </w:rPr>
        <w:t xml:space="preserve"> deberá</w:t>
      </w:r>
      <w:r w:rsidR="00EF4922" w:rsidRPr="0098104D">
        <w:rPr>
          <w:rFonts w:ascii="Arial" w:hAnsi="Arial" w:cs="Arial"/>
          <w:sz w:val="24"/>
        </w:rPr>
        <w:t>n</w:t>
      </w:r>
      <w:r w:rsidRPr="0098104D">
        <w:rPr>
          <w:rFonts w:ascii="Arial" w:hAnsi="Arial" w:cs="Arial"/>
          <w:sz w:val="24"/>
        </w:rPr>
        <w:t xml:space="preserve"> ser contratado</w:t>
      </w:r>
      <w:r w:rsidR="00EF4922" w:rsidRPr="0098104D">
        <w:rPr>
          <w:rFonts w:ascii="Arial" w:hAnsi="Arial" w:cs="Arial"/>
          <w:sz w:val="24"/>
        </w:rPr>
        <w:t>s</w:t>
      </w:r>
      <w:r w:rsidRPr="0098104D">
        <w:rPr>
          <w:rFonts w:ascii="Arial" w:hAnsi="Arial" w:cs="Arial"/>
          <w:sz w:val="24"/>
        </w:rPr>
        <w:t xml:space="preserve"> con la </w:t>
      </w:r>
      <w:r w:rsidR="00EF4922" w:rsidRPr="0098104D">
        <w:rPr>
          <w:rFonts w:ascii="Arial" w:hAnsi="Arial" w:cs="Arial"/>
          <w:sz w:val="24"/>
        </w:rPr>
        <w:t>o las instituciones</w:t>
      </w:r>
      <w:r w:rsidRPr="0098104D">
        <w:rPr>
          <w:rFonts w:ascii="Arial" w:hAnsi="Arial" w:cs="Arial"/>
          <w:sz w:val="24"/>
        </w:rPr>
        <w:t xml:space="preserve"> que represente</w:t>
      </w:r>
      <w:r w:rsidR="00EF4922" w:rsidRPr="0098104D">
        <w:rPr>
          <w:rFonts w:ascii="Arial" w:hAnsi="Arial" w:cs="Arial"/>
          <w:sz w:val="24"/>
        </w:rPr>
        <w:t>n</w:t>
      </w:r>
      <w:r w:rsidRPr="0098104D">
        <w:rPr>
          <w:rFonts w:ascii="Arial" w:hAnsi="Arial" w:cs="Arial"/>
          <w:sz w:val="24"/>
        </w:rPr>
        <w:t xml:space="preserve"> las mejores condiciones para el estado, considerando integralmente los términos y las condiciones legales y financieras ofrecidos por cada una de ellas.</w:t>
      </w:r>
    </w:p>
    <w:p w:rsidR="0008752F" w:rsidRPr="0098104D" w:rsidRDefault="0008752F" w:rsidP="0008752F">
      <w:pPr>
        <w:spacing w:before="100" w:beforeAutospacing="1" w:after="100" w:afterAutospacing="1" w:line="240" w:lineRule="auto"/>
        <w:jc w:val="both"/>
        <w:rPr>
          <w:rFonts w:ascii="Arial" w:hAnsi="Arial" w:cs="Arial"/>
          <w:b/>
          <w:sz w:val="24"/>
        </w:rPr>
      </w:pPr>
      <w:r w:rsidRPr="0098104D">
        <w:rPr>
          <w:rFonts w:ascii="Arial" w:hAnsi="Arial" w:cs="Arial"/>
          <w:b/>
          <w:sz w:val="24"/>
        </w:rPr>
        <w:t>Artículo 2. Inversiones públicas productivas</w:t>
      </w:r>
    </w:p>
    <w:p w:rsidR="006F58DD" w:rsidRPr="0098104D" w:rsidRDefault="0008752F" w:rsidP="0008752F">
      <w:pPr>
        <w:spacing w:before="100" w:beforeAutospacing="1" w:after="100" w:afterAutospacing="1" w:line="240" w:lineRule="auto"/>
        <w:jc w:val="both"/>
        <w:rPr>
          <w:rFonts w:ascii="Arial" w:hAnsi="Arial" w:cs="Arial"/>
          <w:sz w:val="24"/>
        </w:rPr>
      </w:pPr>
      <w:r w:rsidRPr="0098104D">
        <w:rPr>
          <w:rFonts w:ascii="Arial" w:hAnsi="Arial" w:cs="Arial"/>
          <w:sz w:val="24"/>
        </w:rPr>
        <w:t xml:space="preserve">El </w:t>
      </w:r>
      <w:r w:rsidR="00EF4922" w:rsidRPr="0098104D">
        <w:rPr>
          <w:rFonts w:ascii="Arial" w:hAnsi="Arial" w:cs="Arial"/>
          <w:sz w:val="24"/>
        </w:rPr>
        <w:t xml:space="preserve">o los </w:t>
      </w:r>
      <w:r w:rsidRPr="0098104D">
        <w:rPr>
          <w:rFonts w:ascii="Arial" w:hAnsi="Arial" w:cs="Arial"/>
          <w:sz w:val="24"/>
        </w:rPr>
        <w:t>financiamiento</w:t>
      </w:r>
      <w:r w:rsidR="00EF4922" w:rsidRPr="0098104D">
        <w:rPr>
          <w:rFonts w:ascii="Arial" w:hAnsi="Arial" w:cs="Arial"/>
          <w:sz w:val="24"/>
        </w:rPr>
        <w:t>s</w:t>
      </w:r>
      <w:r w:rsidRPr="0098104D">
        <w:rPr>
          <w:rFonts w:ascii="Arial" w:hAnsi="Arial" w:cs="Arial"/>
          <w:sz w:val="24"/>
        </w:rPr>
        <w:t xml:space="preserve"> que contrate el Poder Ejecutivo, a través de la Secretaría de Administración y Finanzas, con base en la presente autorización, deberá</w:t>
      </w:r>
      <w:r w:rsidR="00EF4922" w:rsidRPr="0098104D">
        <w:rPr>
          <w:rFonts w:ascii="Arial" w:hAnsi="Arial" w:cs="Arial"/>
          <w:sz w:val="24"/>
        </w:rPr>
        <w:t>n</w:t>
      </w:r>
      <w:r w:rsidRPr="0098104D">
        <w:rPr>
          <w:rFonts w:ascii="Arial" w:hAnsi="Arial" w:cs="Arial"/>
          <w:sz w:val="24"/>
        </w:rPr>
        <w:t xml:space="preserve"> destinarse a i</w:t>
      </w:r>
      <w:r w:rsidR="00EF4922" w:rsidRPr="0098104D">
        <w:rPr>
          <w:rFonts w:ascii="Arial" w:hAnsi="Arial" w:cs="Arial"/>
          <w:sz w:val="24"/>
        </w:rPr>
        <w:t>nversiones públicas productivas, incluido, en su caso, el Impuesto al Valor Agregado, consistentes en la implementación del Sistema Integral de Seguridad Electrónica denominado “Fortalecimiento Tecnológico de Seguridad y Monitoreo, Yucatán Seguro”, así como para financiar la constitución de fondos de reserva para el pago del o los financiamientos que se contraten y, en su caso, de los intereses en periodo de disposición o de gracia que se llegaran a otorgar.</w:t>
      </w:r>
    </w:p>
    <w:p w:rsidR="0008752F" w:rsidRPr="0098104D" w:rsidRDefault="0008752F" w:rsidP="0008752F">
      <w:pPr>
        <w:spacing w:before="100" w:beforeAutospacing="1" w:after="100" w:afterAutospacing="1" w:line="240" w:lineRule="auto"/>
        <w:jc w:val="both"/>
        <w:rPr>
          <w:rFonts w:ascii="Arial" w:hAnsi="Arial" w:cs="Arial"/>
          <w:sz w:val="24"/>
        </w:rPr>
      </w:pPr>
      <w:r w:rsidRPr="0098104D">
        <w:rPr>
          <w:rFonts w:ascii="Arial" w:hAnsi="Arial" w:cs="Arial"/>
          <w:sz w:val="24"/>
        </w:rPr>
        <w:t xml:space="preserve">Asimismo, los recursos obtenidos </w:t>
      </w:r>
      <w:r w:rsidR="0048631E" w:rsidRPr="0098104D">
        <w:rPr>
          <w:rFonts w:ascii="Arial" w:hAnsi="Arial" w:cs="Arial"/>
          <w:sz w:val="24"/>
        </w:rPr>
        <w:t>podrán</w:t>
      </w:r>
      <w:r w:rsidRPr="0098104D">
        <w:rPr>
          <w:rFonts w:ascii="Arial" w:hAnsi="Arial" w:cs="Arial"/>
          <w:sz w:val="24"/>
        </w:rPr>
        <w:t xml:space="preserve"> destinarse para cubrir </w:t>
      </w:r>
      <w:r w:rsidR="00EF4922" w:rsidRPr="0098104D">
        <w:rPr>
          <w:rFonts w:ascii="Arial" w:hAnsi="Arial" w:cs="Arial"/>
          <w:sz w:val="24"/>
        </w:rPr>
        <w:t xml:space="preserve">los gastos y costos </w:t>
      </w:r>
      <w:r w:rsidRPr="0098104D">
        <w:rPr>
          <w:rFonts w:ascii="Arial" w:hAnsi="Arial" w:cs="Arial"/>
          <w:sz w:val="24"/>
        </w:rPr>
        <w:t>re</w:t>
      </w:r>
      <w:r w:rsidR="00EF4922" w:rsidRPr="0098104D">
        <w:rPr>
          <w:rFonts w:ascii="Arial" w:hAnsi="Arial" w:cs="Arial"/>
          <w:sz w:val="24"/>
        </w:rPr>
        <w:t>lacionado</w:t>
      </w:r>
      <w:r w:rsidRPr="0098104D">
        <w:rPr>
          <w:rFonts w:ascii="Arial" w:hAnsi="Arial" w:cs="Arial"/>
          <w:sz w:val="24"/>
        </w:rPr>
        <w:t xml:space="preserve">s con la obtención de los financiamientos, tales como constitución de reservas, costos de </w:t>
      </w:r>
      <w:r w:rsidR="00EF4922" w:rsidRPr="0098104D">
        <w:rPr>
          <w:rFonts w:ascii="Arial" w:hAnsi="Arial" w:cs="Arial"/>
          <w:sz w:val="24"/>
        </w:rPr>
        <w:t xml:space="preserve">asesoría jurídica y financiera, y de </w:t>
      </w:r>
      <w:r w:rsidRPr="0098104D">
        <w:rPr>
          <w:rFonts w:ascii="Arial" w:hAnsi="Arial" w:cs="Arial"/>
          <w:sz w:val="24"/>
        </w:rPr>
        <w:t xml:space="preserve">estructuración, pago de coberturas de tasas de interés, </w:t>
      </w:r>
      <w:r w:rsidR="00EF4922" w:rsidRPr="0098104D">
        <w:rPr>
          <w:rFonts w:ascii="Arial" w:hAnsi="Arial" w:cs="Arial"/>
          <w:sz w:val="24"/>
        </w:rPr>
        <w:t xml:space="preserve">calificaciones de la estructura, honorarios fiduciarios, </w:t>
      </w:r>
      <w:r w:rsidRPr="0098104D">
        <w:rPr>
          <w:rFonts w:ascii="Arial" w:hAnsi="Arial" w:cs="Arial"/>
          <w:sz w:val="24"/>
        </w:rPr>
        <w:t>así como comisiones financieras institucionales y gastos inherentes al proceso de financiamiento ante</w:t>
      </w:r>
      <w:r w:rsidR="00EF4922" w:rsidRPr="0098104D">
        <w:rPr>
          <w:rFonts w:ascii="Arial" w:hAnsi="Arial" w:cs="Arial"/>
          <w:sz w:val="24"/>
        </w:rPr>
        <w:t>s referido, sin exceder el 2.5% del importe principal del financiamiento autorizado en el artículo 1 del presente decreto, de conformidad con los establecido en el artículo 27 del Reglamento del Registro Público Único de Financiamientos y Obligaciones de Entidades Federativas y Municipios.</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3. Amortización</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 xml:space="preserve">El </w:t>
      </w:r>
      <w:r w:rsidR="0026219E" w:rsidRPr="0098104D">
        <w:rPr>
          <w:rFonts w:ascii="Arial" w:hAnsi="Arial" w:cs="Arial"/>
          <w:sz w:val="24"/>
        </w:rPr>
        <w:t xml:space="preserve">o los </w:t>
      </w:r>
      <w:r w:rsidRPr="0098104D">
        <w:rPr>
          <w:rFonts w:ascii="Arial" w:hAnsi="Arial" w:cs="Arial"/>
          <w:sz w:val="24"/>
        </w:rPr>
        <w:t>financiamiento</w:t>
      </w:r>
      <w:r w:rsidR="0026219E" w:rsidRPr="0098104D">
        <w:rPr>
          <w:rFonts w:ascii="Arial" w:hAnsi="Arial" w:cs="Arial"/>
          <w:sz w:val="24"/>
        </w:rPr>
        <w:t>s</w:t>
      </w:r>
      <w:r w:rsidRPr="0098104D">
        <w:rPr>
          <w:rFonts w:ascii="Arial" w:hAnsi="Arial" w:cs="Arial"/>
          <w:sz w:val="24"/>
        </w:rPr>
        <w:t xml:space="preserve"> a que se refiere este decreto deberá</w:t>
      </w:r>
      <w:r w:rsidR="0026219E" w:rsidRPr="0098104D">
        <w:rPr>
          <w:rFonts w:ascii="Arial" w:hAnsi="Arial" w:cs="Arial"/>
          <w:sz w:val="24"/>
        </w:rPr>
        <w:t>n</w:t>
      </w:r>
      <w:r w:rsidRPr="0098104D">
        <w:rPr>
          <w:rFonts w:ascii="Arial" w:hAnsi="Arial" w:cs="Arial"/>
          <w:sz w:val="24"/>
        </w:rPr>
        <w:t xml:space="preserve"> amortizarse en su totalidad en un plazo que no exceda de veinte años, contado a partir de la fecha en que se ejerza la</w:t>
      </w:r>
      <w:r w:rsidR="0026219E" w:rsidRPr="0098104D">
        <w:rPr>
          <w:rFonts w:ascii="Arial" w:hAnsi="Arial" w:cs="Arial"/>
          <w:sz w:val="24"/>
        </w:rPr>
        <w:t xml:space="preserve"> primera o única disposición de cada</w:t>
      </w:r>
      <w:r w:rsidRPr="0098104D">
        <w:rPr>
          <w:rFonts w:ascii="Arial" w:hAnsi="Arial" w:cs="Arial"/>
          <w:sz w:val="24"/>
        </w:rPr>
        <w:t xml:space="preserve"> financiamiento, en el entendido de que los demás plazos, así como los intereses y demás términos y condiciones serán los que se establezcan en el </w:t>
      </w:r>
      <w:r w:rsidR="0026219E" w:rsidRPr="0098104D">
        <w:rPr>
          <w:rFonts w:ascii="Arial" w:hAnsi="Arial" w:cs="Arial"/>
          <w:sz w:val="24"/>
        </w:rPr>
        <w:t xml:space="preserve">o los </w:t>
      </w:r>
      <w:r w:rsidRPr="0098104D">
        <w:rPr>
          <w:rFonts w:ascii="Arial" w:hAnsi="Arial" w:cs="Arial"/>
          <w:sz w:val="24"/>
        </w:rPr>
        <w:t>contrato</w:t>
      </w:r>
      <w:r w:rsidR="0026219E" w:rsidRPr="0098104D">
        <w:rPr>
          <w:rFonts w:ascii="Arial" w:hAnsi="Arial" w:cs="Arial"/>
          <w:sz w:val="24"/>
        </w:rPr>
        <w:t>s</w:t>
      </w:r>
      <w:r w:rsidRPr="0098104D">
        <w:rPr>
          <w:rFonts w:ascii="Arial" w:hAnsi="Arial" w:cs="Arial"/>
          <w:sz w:val="24"/>
        </w:rPr>
        <w:t xml:space="preserve"> que al efecto se celebre</w:t>
      </w:r>
      <w:r w:rsidR="0026219E" w:rsidRPr="0098104D">
        <w:rPr>
          <w:rFonts w:ascii="Arial" w:hAnsi="Arial" w:cs="Arial"/>
          <w:sz w:val="24"/>
        </w:rPr>
        <w:t>n</w:t>
      </w:r>
      <w:r w:rsidRPr="0098104D">
        <w:rPr>
          <w:rFonts w:ascii="Arial" w:hAnsi="Arial" w:cs="Arial"/>
          <w:sz w:val="24"/>
        </w:rPr>
        <w:t>.</w:t>
      </w:r>
    </w:p>
    <w:p w:rsidR="00AD522E" w:rsidRPr="0098104D" w:rsidRDefault="00163CD1" w:rsidP="00AD522E">
      <w:pPr>
        <w:spacing w:before="100" w:beforeAutospacing="1" w:after="100" w:afterAutospacing="1" w:line="240" w:lineRule="auto"/>
        <w:jc w:val="both"/>
        <w:rPr>
          <w:rFonts w:ascii="Arial" w:hAnsi="Arial" w:cs="Arial"/>
          <w:sz w:val="24"/>
        </w:rPr>
      </w:pPr>
      <w:r w:rsidRPr="0098104D">
        <w:rPr>
          <w:rFonts w:ascii="Arial" w:hAnsi="Arial" w:cs="Arial"/>
          <w:sz w:val="24"/>
        </w:rPr>
        <w:t>Sin perjuicio de lo anterior, cada</w:t>
      </w:r>
      <w:r w:rsidR="00AD522E" w:rsidRPr="0098104D">
        <w:rPr>
          <w:rFonts w:ascii="Arial" w:hAnsi="Arial" w:cs="Arial"/>
          <w:sz w:val="24"/>
        </w:rPr>
        <w:t xml:space="preserve"> contrato mediante el cual se formalice el financiamiento estará vigente mientras existan obligaciones pendientes de pago a favor de los acreedores derivadas del financiamiento.</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4. Suscripción de los instrumentos jurídicos</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Se a</w:t>
      </w:r>
      <w:r w:rsidR="00AE755A" w:rsidRPr="0098104D">
        <w:rPr>
          <w:rFonts w:ascii="Arial" w:hAnsi="Arial" w:cs="Arial"/>
          <w:sz w:val="24"/>
        </w:rPr>
        <w:t>utoriza al Poder Ejecutivo del E</w:t>
      </w:r>
      <w:r w:rsidRPr="0098104D">
        <w:rPr>
          <w:rFonts w:ascii="Arial" w:hAnsi="Arial" w:cs="Arial"/>
          <w:sz w:val="24"/>
        </w:rPr>
        <w:t xml:space="preserve">stado de Yucatán para que, por conducto del secretario de Administración y Finanzas, negocie los términos, apruebe y concurra a la firma de los instrumentos jurídicos correspondientes al empréstito o a los empréstitos autorizados, a sus garantías y a la fuente de pago de los financiamientos y accesorios, incluyendo, sin limitación, contratos y títulos de crédito, instrumentos derivados, </w:t>
      </w:r>
      <w:r w:rsidR="00163CD1" w:rsidRPr="0098104D">
        <w:rPr>
          <w:rFonts w:ascii="Arial" w:hAnsi="Arial" w:cs="Arial"/>
          <w:sz w:val="24"/>
        </w:rPr>
        <w:t xml:space="preserve">instrucciones irrevocables, </w:t>
      </w:r>
      <w:r w:rsidRPr="0098104D">
        <w:rPr>
          <w:rFonts w:ascii="Arial" w:hAnsi="Arial" w:cs="Arial"/>
          <w:sz w:val="24"/>
        </w:rPr>
        <w:t>contratos de garantía o contratos de fideicomiso relacionados con el presente decreto.</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5. Refinanciamiento o reestructuración</w:t>
      </w:r>
    </w:p>
    <w:p w:rsidR="00AD522E" w:rsidRPr="0098104D" w:rsidRDefault="00AD522E" w:rsidP="00BB6582">
      <w:pPr>
        <w:spacing w:before="100" w:beforeAutospacing="1" w:after="100" w:afterAutospacing="1" w:line="240" w:lineRule="auto"/>
        <w:jc w:val="both"/>
        <w:rPr>
          <w:rFonts w:ascii="Arial" w:hAnsi="Arial" w:cs="Arial"/>
          <w:sz w:val="24"/>
        </w:rPr>
      </w:pPr>
      <w:r w:rsidRPr="0098104D">
        <w:rPr>
          <w:rFonts w:ascii="Arial" w:hAnsi="Arial" w:cs="Arial"/>
          <w:sz w:val="24"/>
        </w:rPr>
        <w:t xml:space="preserve">El Poder Ejecutivo, a través del secretario de Administración y Finanzas, en su caso, podrá refinanciar o reestructurar la deuda que derive del financiamiento que se contrate con base en este decreto, sin que para ello se requiera de una nueva autorización, siempre que las modificaciones a las condiciones originales del financiamiento resulten favorables al estado de Yucatán, en apego a lo establecido en la </w:t>
      </w:r>
      <w:r w:rsidR="00BB6582" w:rsidRPr="0098104D">
        <w:rPr>
          <w:rFonts w:ascii="Arial" w:hAnsi="Arial" w:cs="Arial"/>
          <w:sz w:val="24"/>
        </w:rPr>
        <w:t>Ley de Disciplina Financiera de las Entidades Federativas y los Municipios</w:t>
      </w:r>
      <w:r w:rsidR="00163CD1" w:rsidRPr="0098104D">
        <w:rPr>
          <w:rFonts w:ascii="Arial" w:hAnsi="Arial" w:cs="Arial"/>
          <w:sz w:val="24"/>
        </w:rPr>
        <w:t>,</w:t>
      </w:r>
      <w:r w:rsidR="00BB6582" w:rsidRPr="0098104D">
        <w:rPr>
          <w:rFonts w:ascii="Arial" w:hAnsi="Arial" w:cs="Arial"/>
          <w:sz w:val="24"/>
        </w:rPr>
        <w:t xml:space="preserve"> y la </w:t>
      </w:r>
      <w:r w:rsidRPr="0098104D">
        <w:rPr>
          <w:rFonts w:ascii="Arial" w:hAnsi="Arial" w:cs="Arial"/>
          <w:sz w:val="24"/>
        </w:rPr>
        <w:t>Ley de Deuda Pública del Estado de Yucatán.</w:t>
      </w:r>
    </w:p>
    <w:p w:rsidR="00AD522E" w:rsidRPr="0098104D" w:rsidRDefault="002D7B5A"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6. Afectación</w:t>
      </w:r>
      <w:r w:rsidR="00163CD1" w:rsidRPr="0098104D">
        <w:rPr>
          <w:rFonts w:ascii="Arial" w:hAnsi="Arial" w:cs="Arial"/>
          <w:b/>
          <w:sz w:val="24"/>
        </w:rPr>
        <w:t xml:space="preserve"> y fideicomisos</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Se autoriza al Poder Ejecutivo para que, por conducto de la Secretaría de Administración y Finanzas, afecte,</w:t>
      </w:r>
      <w:r w:rsidR="00163CD1" w:rsidRPr="0098104D">
        <w:rPr>
          <w:rFonts w:ascii="Arial" w:hAnsi="Arial" w:cs="Arial"/>
          <w:sz w:val="24"/>
        </w:rPr>
        <w:t xml:space="preserve"> irrevocablemente,</w:t>
      </w:r>
      <w:r w:rsidRPr="0098104D">
        <w:rPr>
          <w:rFonts w:ascii="Arial" w:hAnsi="Arial" w:cs="Arial"/>
          <w:sz w:val="24"/>
        </w:rPr>
        <w:t xml:space="preserve"> como garantía o fuente de pago de todas y cada una de las obligaciones que se contraigan con motivo de la autorización a que se refiere este decreto, un porcentaje suficiente de los ingres</w:t>
      </w:r>
      <w:r w:rsidR="00AE755A" w:rsidRPr="0098104D">
        <w:rPr>
          <w:rFonts w:ascii="Arial" w:hAnsi="Arial" w:cs="Arial"/>
          <w:sz w:val="24"/>
        </w:rPr>
        <w:t>os y derechos que le corresponda</w:t>
      </w:r>
      <w:r w:rsidRPr="0098104D">
        <w:rPr>
          <w:rFonts w:ascii="Arial" w:hAnsi="Arial" w:cs="Arial"/>
          <w:sz w:val="24"/>
        </w:rPr>
        <w:t xml:space="preserve">n al estado de Yucatán de los recursos del Fondo General de </w:t>
      </w:r>
      <w:r w:rsidR="00A532AE" w:rsidRPr="0098104D">
        <w:rPr>
          <w:rFonts w:ascii="Arial" w:hAnsi="Arial" w:cs="Arial"/>
          <w:sz w:val="24"/>
        </w:rPr>
        <w:t>Participaciones</w:t>
      </w:r>
      <w:r w:rsidRPr="0098104D">
        <w:rPr>
          <w:rFonts w:ascii="Arial" w:hAnsi="Arial" w:cs="Arial"/>
          <w:sz w:val="24"/>
        </w:rPr>
        <w:t xml:space="preserve"> a que hace</w:t>
      </w:r>
      <w:r w:rsidR="00163CD1" w:rsidRPr="0098104D">
        <w:rPr>
          <w:rFonts w:ascii="Arial" w:hAnsi="Arial" w:cs="Arial"/>
          <w:sz w:val="24"/>
        </w:rPr>
        <w:t xml:space="preserve"> referencia </w:t>
      </w:r>
      <w:r w:rsidRPr="0098104D">
        <w:rPr>
          <w:rFonts w:ascii="Arial" w:hAnsi="Arial" w:cs="Arial"/>
          <w:sz w:val="24"/>
        </w:rPr>
        <w:t>la Ley de Coordinación Fiscal federal, así como de aquellos que, en su caso, lo reemplacen, sustituyan o complementen.</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Di</w:t>
      </w:r>
      <w:r w:rsidR="00BB6582" w:rsidRPr="0098104D">
        <w:rPr>
          <w:rFonts w:ascii="Arial" w:hAnsi="Arial" w:cs="Arial"/>
          <w:sz w:val="24"/>
        </w:rPr>
        <w:t>cha afectación deberá hacerse con apego en</w:t>
      </w:r>
      <w:r w:rsidRPr="0098104D">
        <w:rPr>
          <w:rFonts w:ascii="Arial" w:hAnsi="Arial" w:cs="Arial"/>
          <w:sz w:val="24"/>
        </w:rPr>
        <w:t xml:space="preserve"> lo establecido en Ley de Deuda Pública del Estado de Yucatán, la Ley de Coordinación Fiscal federal y la demás legislación y normativa aplicable.</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 xml:space="preserve">La afectación de los ingresos y derechos de las </w:t>
      </w:r>
      <w:r w:rsidR="00104021" w:rsidRPr="0098104D">
        <w:rPr>
          <w:rFonts w:ascii="Arial" w:hAnsi="Arial" w:cs="Arial"/>
          <w:sz w:val="24"/>
        </w:rPr>
        <w:t>participaciones</w:t>
      </w:r>
      <w:r w:rsidRPr="0098104D">
        <w:rPr>
          <w:rFonts w:ascii="Arial" w:hAnsi="Arial" w:cs="Arial"/>
          <w:sz w:val="24"/>
        </w:rPr>
        <w:t xml:space="preserve"> a que se refiere este artículo podrá formalizarse</w:t>
      </w:r>
      <w:r w:rsidR="00163CD1" w:rsidRPr="0098104D">
        <w:rPr>
          <w:rFonts w:ascii="Arial" w:hAnsi="Arial" w:cs="Arial"/>
          <w:sz w:val="24"/>
        </w:rPr>
        <w:t>, por conducto de la Secretaría de Administración y Finanzas,</w:t>
      </w:r>
      <w:r w:rsidRPr="0098104D">
        <w:rPr>
          <w:rFonts w:ascii="Arial" w:hAnsi="Arial" w:cs="Arial"/>
          <w:sz w:val="24"/>
        </w:rPr>
        <w:t xml:space="preserve"> mediante la constitución </w:t>
      </w:r>
      <w:r w:rsidR="00BB6582" w:rsidRPr="0098104D">
        <w:rPr>
          <w:rFonts w:ascii="Arial" w:hAnsi="Arial" w:cs="Arial"/>
          <w:sz w:val="24"/>
        </w:rPr>
        <w:t xml:space="preserve">o aplicación </w:t>
      </w:r>
      <w:r w:rsidRPr="0098104D">
        <w:rPr>
          <w:rFonts w:ascii="Arial" w:hAnsi="Arial" w:cs="Arial"/>
          <w:sz w:val="24"/>
        </w:rPr>
        <w:t>de uno o varios fideicomisos irrevocables de administración o fuente de pago.</w:t>
      </w:r>
    </w:p>
    <w:p w:rsidR="00163CD1" w:rsidRPr="0098104D" w:rsidRDefault="00163CD1" w:rsidP="00163CD1">
      <w:pPr>
        <w:spacing w:before="100" w:beforeAutospacing="1" w:after="100" w:afterAutospacing="1" w:line="240" w:lineRule="auto"/>
        <w:jc w:val="both"/>
        <w:rPr>
          <w:rFonts w:ascii="Arial" w:hAnsi="Arial" w:cs="Arial"/>
          <w:sz w:val="24"/>
        </w:rPr>
      </w:pPr>
      <w:r w:rsidRPr="0098104D">
        <w:rPr>
          <w:rFonts w:ascii="Arial" w:hAnsi="Arial" w:cs="Arial"/>
          <w:sz w:val="24"/>
        </w:rPr>
        <w:t>A través del o los fideicomisos que se constituyan o modifiquen de acuerdo con el presente artículo, también se podrá, de resultar necesario o conveniente, habilitarlos para que a través de estos se realice la disposición de los recursos del o los créditos que contrate el estado, con el objeto de que sirvan como mecanismos de administración y dispersión de los créditos, para destinarlos a los conceptos autorizados en este decreto,</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En todo caso, los fideicomisos constituidos o modificados al amparo de la presente autorización no serán considerados entidades paraestatales, por lo que no constituirán parte de la Administración Pública paraestatal. Lo anterior, conforme a lo establecido en el artículo 7, fracción VI, de la Ley de Deuda Pública del Estado de Yucatán.</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7. Notificación a la Secretaría de Hacienda y Crédito Público</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 xml:space="preserve">Para asegurar la viabilidad de la estructura de los financiamientos, basada en la afectación </w:t>
      </w:r>
      <w:r w:rsidR="002D7B5A" w:rsidRPr="0098104D">
        <w:rPr>
          <w:rFonts w:ascii="Arial" w:hAnsi="Arial" w:cs="Arial"/>
          <w:sz w:val="24"/>
        </w:rPr>
        <w:t>a que hace referencia el artículo anterior de este decreto</w:t>
      </w:r>
      <w:r w:rsidRPr="0098104D">
        <w:rPr>
          <w:rFonts w:ascii="Arial" w:hAnsi="Arial" w:cs="Arial"/>
          <w:sz w:val="24"/>
        </w:rPr>
        <w:t>, de conformidad con lo establecido en la fracción IX del artículo 7 de la Ley de Deuda Pública del Est</w:t>
      </w:r>
      <w:r w:rsidR="003B2C3A" w:rsidRPr="0098104D">
        <w:rPr>
          <w:rFonts w:ascii="Arial" w:hAnsi="Arial" w:cs="Arial"/>
          <w:sz w:val="24"/>
        </w:rPr>
        <w:t xml:space="preserve">ado de Yucatán y del artículo 9 </w:t>
      </w:r>
      <w:r w:rsidRPr="0098104D">
        <w:rPr>
          <w:rFonts w:ascii="Arial" w:hAnsi="Arial" w:cs="Arial"/>
          <w:sz w:val="24"/>
        </w:rPr>
        <w:t xml:space="preserve">de la Ley de Coordinación Fiscal federal, la Secretaría de Administración y Finanzas deberá notificar a la Secretaría de Hacienda </w:t>
      </w:r>
      <w:r w:rsidR="002D7B5A" w:rsidRPr="0098104D">
        <w:rPr>
          <w:rFonts w:ascii="Arial" w:hAnsi="Arial" w:cs="Arial"/>
          <w:sz w:val="24"/>
        </w:rPr>
        <w:t xml:space="preserve">y Crédito Público la afectación </w:t>
      </w:r>
      <w:r w:rsidRPr="0098104D">
        <w:rPr>
          <w:rFonts w:ascii="Arial" w:hAnsi="Arial" w:cs="Arial"/>
          <w:sz w:val="24"/>
        </w:rPr>
        <w:t xml:space="preserve">aprobada en este decreto, instruyéndola irrevocablemente a que respecto a cada ministración, entrega, anticipo, entero o ajuste de las </w:t>
      </w:r>
      <w:r w:rsidR="002D7B5A" w:rsidRPr="0098104D">
        <w:rPr>
          <w:rFonts w:ascii="Arial" w:hAnsi="Arial" w:cs="Arial"/>
          <w:sz w:val="24"/>
        </w:rPr>
        <w:t>participaciones</w:t>
      </w:r>
      <w:r w:rsidRPr="0098104D">
        <w:rPr>
          <w:rFonts w:ascii="Arial" w:hAnsi="Arial" w:cs="Arial"/>
          <w:sz w:val="24"/>
        </w:rPr>
        <w:t xml:space="preserve"> que corresponda</w:t>
      </w:r>
      <w:r w:rsidR="00104021" w:rsidRPr="0098104D">
        <w:rPr>
          <w:rFonts w:ascii="Arial" w:hAnsi="Arial" w:cs="Arial"/>
          <w:sz w:val="24"/>
        </w:rPr>
        <w:t>n</w:t>
      </w:r>
      <w:r w:rsidRPr="0098104D">
        <w:rPr>
          <w:rFonts w:ascii="Arial" w:hAnsi="Arial" w:cs="Arial"/>
          <w:sz w:val="24"/>
        </w:rPr>
        <w:t xml:space="preserve"> al estado, abone los flujos correspondientes a las </w:t>
      </w:r>
      <w:r w:rsidR="00104021" w:rsidRPr="0098104D">
        <w:rPr>
          <w:rFonts w:ascii="Arial" w:hAnsi="Arial" w:cs="Arial"/>
          <w:sz w:val="24"/>
        </w:rPr>
        <w:t>participaciones</w:t>
      </w:r>
      <w:r w:rsidRPr="0098104D">
        <w:rPr>
          <w:rFonts w:ascii="Arial" w:hAnsi="Arial" w:cs="Arial"/>
          <w:sz w:val="24"/>
        </w:rPr>
        <w:t xml:space="preserve"> fideicomitidas en el fideicomiso o los fideicomisos correspondientes, hasta el pago total de los financiamientos contratados al amparo de este decreto.</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Dicha instrucción solo podrá ser modificada, previa autorización del Congreso, siempre y cuando se hayan cumplido los requisitos señalados en los contratos o documentos correspondientes para la modificación de dicha instrucción y no se afecten los derechos de los acreedores conforme a dichos contratos o documentos.</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8. Previsión presupuestal</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El Poder Ejecutivo deberá incluir anualmente en el presupuesto de egresos de cada ejercicio fiscal, en tanto existan obligaciones pendientes de pago asociadas al financiamiento que se formalice con base en esta autorización, el monto para el servicio de la deuda y sus accesorios, bajo los términos contratados, hasta la total liquidación.</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9. Suscripción de instrumentos</w:t>
      </w:r>
    </w:p>
    <w:p w:rsidR="00AD522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 xml:space="preserve">Se autoriza al Poder Ejecutivo para que, </w:t>
      </w:r>
      <w:r w:rsidR="00BB6582" w:rsidRPr="0098104D">
        <w:rPr>
          <w:rFonts w:ascii="Arial" w:hAnsi="Arial" w:cs="Arial"/>
          <w:sz w:val="24"/>
        </w:rPr>
        <w:t xml:space="preserve">por conducto de la Secretaría de Administración y Finanzas, </w:t>
      </w:r>
      <w:r w:rsidRPr="0098104D">
        <w:rPr>
          <w:rFonts w:ascii="Arial" w:hAnsi="Arial" w:cs="Arial"/>
          <w:sz w:val="24"/>
        </w:rPr>
        <w:t>a través de sus representantes legales o servidores públicos facultados</w:t>
      </w:r>
      <w:r w:rsidR="00A72AB8" w:rsidRPr="0098104D">
        <w:rPr>
          <w:rFonts w:ascii="Arial" w:hAnsi="Arial" w:cs="Arial"/>
          <w:sz w:val="24"/>
        </w:rPr>
        <w:t>,</w:t>
      </w:r>
      <w:r w:rsidR="00BB6582" w:rsidRPr="0098104D">
        <w:rPr>
          <w:rFonts w:ascii="Arial" w:hAnsi="Arial" w:cs="Arial"/>
          <w:sz w:val="24"/>
        </w:rPr>
        <w:t xml:space="preserve"> celebre o suscriba</w:t>
      </w:r>
      <w:r w:rsidRPr="0098104D">
        <w:rPr>
          <w:rFonts w:ascii="Arial" w:hAnsi="Arial" w:cs="Arial"/>
          <w:sz w:val="24"/>
        </w:rPr>
        <w:t xml:space="preserve"> todos los documentos, títulos de crédito, contratos, convenios, mecanismos, instrucciones irrevocables</w:t>
      </w:r>
      <w:r w:rsidR="00A72AB8" w:rsidRPr="0098104D">
        <w:rPr>
          <w:rFonts w:ascii="Arial" w:hAnsi="Arial" w:cs="Arial"/>
          <w:sz w:val="24"/>
        </w:rPr>
        <w:t>,</w:t>
      </w:r>
      <w:r w:rsidRPr="0098104D">
        <w:rPr>
          <w:rFonts w:ascii="Arial" w:hAnsi="Arial" w:cs="Arial"/>
          <w:sz w:val="24"/>
        </w:rPr>
        <w:t xml:space="preserve"> en términos de ley</w:t>
      </w:r>
      <w:r w:rsidR="00A72AB8" w:rsidRPr="0098104D">
        <w:rPr>
          <w:rFonts w:ascii="Arial" w:hAnsi="Arial" w:cs="Arial"/>
          <w:sz w:val="24"/>
        </w:rPr>
        <w:t>,</w:t>
      </w:r>
      <w:r w:rsidR="00BB6582" w:rsidRPr="0098104D">
        <w:rPr>
          <w:rFonts w:ascii="Arial" w:hAnsi="Arial" w:cs="Arial"/>
          <w:sz w:val="24"/>
        </w:rPr>
        <w:t xml:space="preserve"> con</w:t>
      </w:r>
      <w:r w:rsidRPr="0098104D">
        <w:rPr>
          <w:rFonts w:ascii="Arial" w:hAnsi="Arial" w:cs="Arial"/>
          <w:sz w:val="24"/>
        </w:rPr>
        <w:t xml:space="preserve"> la Secretaría de Hacienda y Crédito Público o cualquier instrumento legal que se requiera para formalizar el </w:t>
      </w:r>
      <w:r w:rsidR="00FA30D5" w:rsidRPr="0098104D">
        <w:rPr>
          <w:rFonts w:ascii="Arial" w:hAnsi="Arial" w:cs="Arial"/>
          <w:sz w:val="24"/>
        </w:rPr>
        <w:t xml:space="preserve">o los </w:t>
      </w:r>
      <w:r w:rsidRPr="0098104D">
        <w:rPr>
          <w:rFonts w:ascii="Arial" w:hAnsi="Arial" w:cs="Arial"/>
          <w:sz w:val="24"/>
        </w:rPr>
        <w:t>financiamiento</w:t>
      </w:r>
      <w:r w:rsidR="00FA30D5" w:rsidRPr="0098104D">
        <w:rPr>
          <w:rFonts w:ascii="Arial" w:hAnsi="Arial" w:cs="Arial"/>
          <w:sz w:val="24"/>
        </w:rPr>
        <w:t>s</w:t>
      </w:r>
      <w:r w:rsidRPr="0098104D">
        <w:rPr>
          <w:rFonts w:ascii="Arial" w:hAnsi="Arial" w:cs="Arial"/>
          <w:sz w:val="24"/>
        </w:rPr>
        <w:t xml:space="preserve"> autorizado</w:t>
      </w:r>
      <w:r w:rsidR="00FA30D5" w:rsidRPr="0098104D">
        <w:rPr>
          <w:rFonts w:ascii="Arial" w:hAnsi="Arial" w:cs="Arial"/>
          <w:sz w:val="24"/>
        </w:rPr>
        <w:t>s</w:t>
      </w:r>
      <w:r w:rsidRPr="0098104D">
        <w:rPr>
          <w:rFonts w:ascii="Arial" w:hAnsi="Arial" w:cs="Arial"/>
          <w:sz w:val="24"/>
        </w:rPr>
        <w:t xml:space="preserve"> en este decreto, con las características, monto, condiciones y términos que consten y se negocien, así como las afectaciones que se requieran para constituir la garantía o la fuente de pago para el cumplimiento d</w:t>
      </w:r>
      <w:r w:rsidR="00FA30D5" w:rsidRPr="0098104D">
        <w:rPr>
          <w:rFonts w:ascii="Arial" w:hAnsi="Arial" w:cs="Arial"/>
          <w:sz w:val="24"/>
        </w:rPr>
        <w:t xml:space="preserve">e las obligaciones asociadas a los </w:t>
      </w:r>
      <w:r w:rsidRPr="0098104D">
        <w:rPr>
          <w:rFonts w:ascii="Arial" w:hAnsi="Arial" w:cs="Arial"/>
          <w:sz w:val="24"/>
        </w:rPr>
        <w:t>contrato</w:t>
      </w:r>
      <w:r w:rsidR="00FA30D5" w:rsidRPr="0098104D">
        <w:rPr>
          <w:rFonts w:ascii="Arial" w:hAnsi="Arial" w:cs="Arial"/>
          <w:sz w:val="24"/>
        </w:rPr>
        <w:t>s</w:t>
      </w:r>
      <w:r w:rsidRPr="0098104D">
        <w:rPr>
          <w:rFonts w:ascii="Arial" w:hAnsi="Arial" w:cs="Arial"/>
          <w:sz w:val="24"/>
        </w:rPr>
        <w:t xml:space="preserve"> que se celebre</w:t>
      </w:r>
      <w:r w:rsidR="00FA30D5" w:rsidRPr="0098104D">
        <w:rPr>
          <w:rFonts w:ascii="Arial" w:hAnsi="Arial" w:cs="Arial"/>
          <w:sz w:val="24"/>
        </w:rPr>
        <w:t>n</w:t>
      </w:r>
      <w:r w:rsidRPr="0098104D">
        <w:rPr>
          <w:rFonts w:ascii="Arial" w:hAnsi="Arial" w:cs="Arial"/>
          <w:sz w:val="24"/>
        </w:rPr>
        <w:t xml:space="preserve"> con base en esta autorización.</w:t>
      </w:r>
    </w:p>
    <w:p w:rsidR="00AD522E" w:rsidRPr="0098104D" w:rsidRDefault="00AD522E" w:rsidP="00AD522E">
      <w:pPr>
        <w:spacing w:before="100" w:beforeAutospacing="1" w:after="100" w:afterAutospacing="1" w:line="240" w:lineRule="auto"/>
        <w:jc w:val="both"/>
        <w:rPr>
          <w:rFonts w:ascii="Arial" w:hAnsi="Arial" w:cs="Arial"/>
          <w:b/>
          <w:sz w:val="24"/>
        </w:rPr>
      </w:pPr>
      <w:r w:rsidRPr="0098104D">
        <w:rPr>
          <w:rFonts w:ascii="Arial" w:hAnsi="Arial" w:cs="Arial"/>
          <w:b/>
          <w:sz w:val="24"/>
        </w:rPr>
        <w:t>Artículo 10. Operaciones complementarias</w:t>
      </w:r>
    </w:p>
    <w:p w:rsidR="00A72AB8" w:rsidRPr="0098104D" w:rsidRDefault="00A72AB8" w:rsidP="00AD522E">
      <w:pPr>
        <w:spacing w:before="100" w:beforeAutospacing="1" w:after="100" w:afterAutospacing="1" w:line="240" w:lineRule="auto"/>
        <w:jc w:val="both"/>
        <w:rPr>
          <w:rFonts w:ascii="Arial" w:hAnsi="Arial" w:cs="Arial"/>
          <w:sz w:val="24"/>
        </w:rPr>
      </w:pPr>
      <w:r w:rsidRPr="0098104D">
        <w:rPr>
          <w:rFonts w:ascii="Arial" w:hAnsi="Arial" w:cs="Arial"/>
          <w:sz w:val="24"/>
        </w:rPr>
        <w:t>S</w:t>
      </w:r>
      <w:r w:rsidR="00AD522E" w:rsidRPr="0098104D">
        <w:rPr>
          <w:rFonts w:ascii="Arial" w:hAnsi="Arial" w:cs="Arial"/>
          <w:sz w:val="24"/>
        </w:rPr>
        <w:t>e autoriza al Poder Ejecutivo del estado, a través de la Secretaría de Administración y Finanzas, para que</w:t>
      </w:r>
      <w:r w:rsidRPr="0098104D">
        <w:rPr>
          <w:rFonts w:ascii="Arial" w:hAnsi="Arial" w:cs="Arial"/>
          <w:sz w:val="24"/>
        </w:rPr>
        <w:t xml:space="preserve">, en adición al monto de endeudamiento establecido en el artículo </w:t>
      </w:r>
      <w:r w:rsidR="00FA30D5" w:rsidRPr="0098104D">
        <w:rPr>
          <w:rFonts w:ascii="Arial" w:hAnsi="Arial" w:cs="Arial"/>
          <w:sz w:val="24"/>
        </w:rPr>
        <w:t>1</w:t>
      </w:r>
      <w:r w:rsidRPr="0098104D">
        <w:rPr>
          <w:rFonts w:ascii="Arial" w:hAnsi="Arial" w:cs="Arial"/>
          <w:sz w:val="24"/>
        </w:rPr>
        <w:t xml:space="preserve"> de este decreto,</w:t>
      </w:r>
      <w:r w:rsidR="00AD522E" w:rsidRPr="0098104D">
        <w:rPr>
          <w:rFonts w:ascii="Arial" w:hAnsi="Arial" w:cs="Arial"/>
          <w:sz w:val="24"/>
        </w:rPr>
        <w:t xml:space="preserve"> lleve a cabo operaciones con instrumentos derivados</w:t>
      </w:r>
      <w:r w:rsidRPr="0098104D">
        <w:rPr>
          <w:rFonts w:ascii="Arial" w:hAnsi="Arial" w:cs="Arial"/>
          <w:sz w:val="24"/>
        </w:rPr>
        <w:t>,</w:t>
      </w:r>
      <w:r w:rsidR="00AD522E" w:rsidRPr="0098104D">
        <w:rPr>
          <w:rFonts w:ascii="Arial" w:hAnsi="Arial" w:cs="Arial"/>
          <w:sz w:val="24"/>
        </w:rPr>
        <w:t xml:space="preserve"> incluyendo</w:t>
      </w:r>
      <w:r w:rsidRPr="0098104D">
        <w:rPr>
          <w:rFonts w:ascii="Arial" w:hAnsi="Arial" w:cs="Arial"/>
          <w:sz w:val="24"/>
        </w:rPr>
        <w:t>, sin limitar,</w:t>
      </w:r>
      <w:r w:rsidR="00AD522E" w:rsidRPr="0098104D">
        <w:rPr>
          <w:rFonts w:ascii="Arial" w:hAnsi="Arial" w:cs="Arial"/>
          <w:sz w:val="24"/>
        </w:rPr>
        <w:t xml:space="preserve"> contratos de cobertura o contratos de intercambio de tasas, </w:t>
      </w:r>
      <w:r w:rsidRPr="0098104D">
        <w:rPr>
          <w:rFonts w:ascii="Arial" w:hAnsi="Arial" w:cs="Arial"/>
          <w:sz w:val="24"/>
        </w:rPr>
        <w:t>para efectos de cubrir riesgos de mercado relacionados con los financiamientos contratados en términos de este decreto.</w:t>
      </w:r>
    </w:p>
    <w:p w:rsidR="003F5C9E" w:rsidRPr="0098104D" w:rsidRDefault="00AD522E" w:rsidP="00AD522E">
      <w:pPr>
        <w:spacing w:before="100" w:beforeAutospacing="1" w:after="100" w:afterAutospacing="1" w:line="240" w:lineRule="auto"/>
        <w:jc w:val="both"/>
        <w:rPr>
          <w:rFonts w:ascii="Arial" w:hAnsi="Arial" w:cs="Arial"/>
          <w:sz w:val="24"/>
        </w:rPr>
      </w:pPr>
      <w:r w:rsidRPr="0098104D">
        <w:rPr>
          <w:rFonts w:ascii="Arial" w:hAnsi="Arial" w:cs="Arial"/>
          <w:sz w:val="24"/>
        </w:rPr>
        <w:t>Asimismo</w:t>
      </w:r>
      <w:r w:rsidR="00A72AB8" w:rsidRPr="0098104D">
        <w:rPr>
          <w:rFonts w:ascii="Arial" w:hAnsi="Arial" w:cs="Arial"/>
          <w:sz w:val="24"/>
        </w:rPr>
        <w:t>, se autoriza al E</w:t>
      </w:r>
      <w:r w:rsidRPr="0098104D">
        <w:rPr>
          <w:rFonts w:ascii="Arial" w:hAnsi="Arial" w:cs="Arial"/>
          <w:sz w:val="24"/>
        </w:rPr>
        <w:t xml:space="preserve">jecutivo </w:t>
      </w:r>
      <w:r w:rsidR="00FA30D5" w:rsidRPr="0098104D">
        <w:rPr>
          <w:rFonts w:ascii="Arial" w:hAnsi="Arial" w:cs="Arial"/>
          <w:sz w:val="24"/>
        </w:rPr>
        <w:t>par</w:t>
      </w:r>
      <w:r w:rsidRPr="0098104D">
        <w:rPr>
          <w:rFonts w:ascii="Arial" w:hAnsi="Arial" w:cs="Arial"/>
          <w:sz w:val="24"/>
        </w:rPr>
        <w:t>a presupuestar y llevar a cabo todas las erogaciones relacionadas con dichos instrumentos</w:t>
      </w:r>
      <w:r w:rsidR="00A72AB8" w:rsidRPr="0098104D">
        <w:rPr>
          <w:rFonts w:ascii="Arial" w:hAnsi="Arial" w:cs="Arial"/>
          <w:sz w:val="24"/>
        </w:rPr>
        <w:t>,</w:t>
      </w:r>
      <w:r w:rsidRPr="0098104D">
        <w:rPr>
          <w:rFonts w:ascii="Arial" w:hAnsi="Arial" w:cs="Arial"/>
          <w:sz w:val="24"/>
        </w:rPr>
        <w:t xml:space="preserve"> en el entendido </w:t>
      </w:r>
      <w:r w:rsidR="00A72AB8" w:rsidRPr="0098104D">
        <w:rPr>
          <w:rFonts w:ascii="Arial" w:hAnsi="Arial" w:cs="Arial"/>
          <w:sz w:val="24"/>
        </w:rPr>
        <w:t xml:space="preserve">de </w:t>
      </w:r>
      <w:r w:rsidRPr="0098104D">
        <w:rPr>
          <w:rFonts w:ascii="Arial" w:hAnsi="Arial" w:cs="Arial"/>
          <w:sz w:val="24"/>
        </w:rPr>
        <w:t>que podrán compartir la fuente de pag</w:t>
      </w:r>
      <w:r w:rsidR="00A72AB8" w:rsidRPr="0098104D">
        <w:rPr>
          <w:rFonts w:ascii="Arial" w:hAnsi="Arial" w:cs="Arial"/>
          <w:sz w:val="24"/>
        </w:rPr>
        <w:t>o o garantía asociada con</w:t>
      </w:r>
      <w:r w:rsidRPr="0098104D">
        <w:rPr>
          <w:rFonts w:ascii="Arial" w:hAnsi="Arial" w:cs="Arial"/>
          <w:sz w:val="24"/>
        </w:rPr>
        <w:t xml:space="preserve"> los empréstitos que se contraten al amparo del presente decreto.</w:t>
      </w:r>
    </w:p>
    <w:p w:rsidR="00A72AB8" w:rsidRPr="0098104D" w:rsidRDefault="00A72AB8" w:rsidP="00AD522E">
      <w:pPr>
        <w:spacing w:before="100" w:beforeAutospacing="1" w:after="100" w:afterAutospacing="1" w:line="240" w:lineRule="auto"/>
        <w:jc w:val="both"/>
        <w:rPr>
          <w:rFonts w:ascii="Arial" w:hAnsi="Arial" w:cs="Arial"/>
          <w:sz w:val="24"/>
        </w:rPr>
      </w:pPr>
      <w:r w:rsidRPr="0098104D">
        <w:rPr>
          <w:rFonts w:ascii="Arial" w:hAnsi="Arial" w:cs="Arial"/>
          <w:b/>
          <w:sz w:val="24"/>
        </w:rPr>
        <w:t>Artículo segundo. Se reforman:</w:t>
      </w:r>
      <w:r w:rsidRPr="0098104D">
        <w:rPr>
          <w:rFonts w:ascii="Arial" w:hAnsi="Arial" w:cs="Arial"/>
          <w:sz w:val="24"/>
        </w:rPr>
        <w:t xml:space="preserve"> el tota</w:t>
      </w:r>
      <w:r w:rsidR="009D5D82" w:rsidRPr="0098104D">
        <w:rPr>
          <w:rFonts w:ascii="Arial" w:hAnsi="Arial" w:cs="Arial"/>
          <w:sz w:val="24"/>
        </w:rPr>
        <w:t xml:space="preserve">l y el numeral 0 del artículo 2 </w:t>
      </w:r>
      <w:r w:rsidRPr="0098104D">
        <w:rPr>
          <w:rFonts w:ascii="Arial" w:hAnsi="Arial" w:cs="Arial"/>
          <w:sz w:val="24"/>
        </w:rPr>
        <w:t>de la Ley de Ingresos del Estado de Yucatán para el Ejercicio Fiscal 2019, para quedar en los siguientes términos:</w:t>
      </w:r>
    </w:p>
    <w:p w:rsidR="002476DC" w:rsidRPr="0098104D" w:rsidRDefault="00A72AB8" w:rsidP="00890F64">
      <w:pPr>
        <w:spacing w:before="100" w:beforeAutospacing="1" w:after="100" w:afterAutospacing="1" w:line="240" w:lineRule="auto"/>
        <w:jc w:val="both"/>
        <w:rPr>
          <w:rFonts w:ascii="Arial" w:hAnsi="Arial" w:cs="Arial"/>
          <w:sz w:val="24"/>
        </w:rPr>
      </w:pPr>
      <w:r w:rsidRPr="0098104D">
        <w:rPr>
          <w:rFonts w:ascii="Arial" w:hAnsi="Arial" w:cs="Arial"/>
          <w:b/>
          <w:sz w:val="24"/>
        </w:rPr>
        <w:t>Artículo 2.</w:t>
      </w:r>
      <w:r w:rsidR="004F23AB" w:rsidRPr="0098104D">
        <w:rPr>
          <w:rFonts w:ascii="Arial" w:hAnsi="Arial" w:cs="Arial"/>
          <w:b/>
          <w:sz w:val="24"/>
        </w:rPr>
        <w:t xml:space="preserve"> Ingresos</w:t>
      </w:r>
    </w:p>
    <w:p w:rsidR="00A72AB8" w:rsidRPr="0098104D" w:rsidRDefault="00A72AB8" w:rsidP="00890F64">
      <w:pPr>
        <w:spacing w:before="100" w:beforeAutospacing="1" w:after="100" w:afterAutospacing="1" w:line="240" w:lineRule="auto"/>
        <w:jc w:val="both"/>
        <w:rPr>
          <w:rFonts w:ascii="Arial" w:hAnsi="Arial" w:cs="Arial"/>
          <w:sz w:val="24"/>
        </w:rPr>
      </w:pPr>
      <w:r w:rsidRPr="0098104D">
        <w:rPr>
          <w:rFonts w:ascii="Arial" w:hAnsi="Arial" w:cs="Arial"/>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
        <w:gridCol w:w="719"/>
        <w:gridCol w:w="5212"/>
        <w:gridCol w:w="2585"/>
      </w:tblGrid>
      <w:tr w:rsidR="00A72AB8" w:rsidRPr="0098104D" w:rsidTr="00A72AB8">
        <w:trPr>
          <w:trHeight w:val="300"/>
          <w:jc w:val="center"/>
        </w:trPr>
        <w:tc>
          <w:tcPr>
            <w:tcW w:w="3536" w:type="pct"/>
            <w:gridSpan w:val="3"/>
            <w:shd w:val="clear" w:color="auto" w:fill="auto"/>
            <w:noWrap/>
            <w:vAlign w:val="center"/>
            <w:hideMark/>
          </w:tcPr>
          <w:p w:rsidR="00A72AB8" w:rsidRPr="0098104D" w:rsidRDefault="00A72AB8"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Total</w:t>
            </w:r>
          </w:p>
        </w:tc>
        <w:tc>
          <w:tcPr>
            <w:tcW w:w="1464" w:type="pct"/>
            <w:shd w:val="clear" w:color="auto" w:fill="auto"/>
            <w:noWrap/>
            <w:vAlign w:val="center"/>
            <w:hideMark/>
          </w:tcPr>
          <w:p w:rsidR="00A72AB8" w:rsidRPr="0098104D" w:rsidRDefault="00A72AB8" w:rsidP="00A72AB8">
            <w:pPr>
              <w:spacing w:before="100" w:beforeAutospacing="1" w:after="100" w:afterAutospacing="1" w:line="240" w:lineRule="auto"/>
              <w:jc w:val="right"/>
              <w:rPr>
                <w:rFonts w:ascii="Arial" w:hAnsi="Arial" w:cs="Arial"/>
                <w:b/>
                <w:bCs/>
                <w:color w:val="000000"/>
                <w:lang w:eastAsia="es-MX"/>
              </w:rPr>
            </w:pPr>
            <w:r w:rsidRPr="0098104D">
              <w:rPr>
                <w:rFonts w:ascii="Arial" w:hAnsi="Arial" w:cs="Arial"/>
                <w:b/>
                <w:bCs/>
                <w:color w:val="000000"/>
                <w:lang w:eastAsia="es-MX"/>
              </w:rPr>
              <w:t>$</w:t>
            </w:r>
            <w:r w:rsidR="00CC3618" w:rsidRPr="0098104D">
              <w:rPr>
                <w:rFonts w:ascii="Arial" w:hAnsi="Arial" w:cs="Arial"/>
                <w:b/>
                <w:bCs/>
                <w:color w:val="000000"/>
                <w:lang w:eastAsia="es-MX"/>
              </w:rPr>
              <w:t>43,206,550,939</w:t>
            </w:r>
            <w:r w:rsidRPr="0098104D">
              <w:rPr>
                <w:rFonts w:ascii="Arial" w:hAnsi="Arial" w:cs="Arial"/>
                <w:b/>
                <w:bCs/>
                <w:color w:val="000000"/>
                <w:lang w:eastAsia="es-MX"/>
              </w:rPr>
              <w:t>.00</w:t>
            </w:r>
          </w:p>
        </w:tc>
      </w:tr>
      <w:tr w:rsidR="00A72AB8" w:rsidRPr="0098104D" w:rsidTr="00A72AB8">
        <w:trPr>
          <w:trHeight w:val="240"/>
          <w:jc w:val="center"/>
        </w:trPr>
        <w:tc>
          <w:tcPr>
            <w:tcW w:w="5000" w:type="pct"/>
            <w:gridSpan w:val="4"/>
            <w:shd w:val="clear" w:color="auto" w:fill="auto"/>
            <w:noWrap/>
            <w:vAlign w:val="center"/>
            <w:hideMark/>
          </w:tcPr>
          <w:p w:rsidR="00A72AB8" w:rsidRPr="0098104D" w:rsidRDefault="00A72AB8"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 xml:space="preserve">1 </w:t>
            </w:r>
            <w:r w:rsidR="003B2C3A" w:rsidRPr="0098104D">
              <w:rPr>
                <w:rFonts w:ascii="Arial" w:hAnsi="Arial" w:cs="Arial"/>
                <w:bCs/>
                <w:color w:val="000000"/>
                <w:lang w:eastAsia="es-MX"/>
              </w:rPr>
              <w:t>al</w:t>
            </w:r>
            <w:r w:rsidRPr="0098104D">
              <w:rPr>
                <w:rFonts w:ascii="Arial" w:hAnsi="Arial" w:cs="Arial"/>
                <w:bCs/>
                <w:color w:val="000000"/>
                <w:lang w:eastAsia="es-MX"/>
              </w:rPr>
              <w:t xml:space="preserve"> </w:t>
            </w:r>
            <w:r w:rsidRPr="0098104D">
              <w:rPr>
                <w:rFonts w:ascii="Arial" w:hAnsi="Arial" w:cs="Arial"/>
                <w:b/>
                <w:bCs/>
                <w:color w:val="000000"/>
                <w:lang w:eastAsia="es-MX"/>
              </w:rPr>
              <w:t>9</w:t>
            </w:r>
            <w:r w:rsidRPr="0098104D">
              <w:rPr>
                <w:rFonts w:ascii="Arial" w:hAnsi="Arial" w:cs="Arial"/>
                <w:bCs/>
                <w:color w:val="000000"/>
                <w:lang w:eastAsia="es-MX"/>
              </w:rPr>
              <w:t xml:space="preserve"> … </w:t>
            </w:r>
          </w:p>
        </w:tc>
      </w:tr>
      <w:tr w:rsidR="00A72AB8" w:rsidRPr="0098104D" w:rsidTr="00A72AB8">
        <w:trPr>
          <w:trHeight w:val="240"/>
          <w:jc w:val="center"/>
        </w:trPr>
        <w:tc>
          <w:tcPr>
            <w:tcW w:w="177" w:type="pct"/>
            <w:shd w:val="clear" w:color="auto" w:fill="auto"/>
            <w:noWrap/>
            <w:vAlign w:val="center"/>
            <w:hideMark/>
          </w:tcPr>
          <w:p w:rsidR="00A72AB8" w:rsidRPr="0098104D" w:rsidRDefault="00A72AB8" w:rsidP="00885F2A">
            <w:pPr>
              <w:spacing w:before="100" w:beforeAutospacing="1" w:after="100" w:afterAutospacing="1" w:line="240" w:lineRule="auto"/>
              <w:jc w:val="center"/>
              <w:rPr>
                <w:rFonts w:ascii="Arial" w:hAnsi="Arial" w:cs="Arial"/>
                <w:b/>
                <w:bCs/>
                <w:color w:val="000000"/>
                <w:lang w:eastAsia="es-MX"/>
              </w:rPr>
            </w:pPr>
            <w:r w:rsidRPr="0098104D">
              <w:rPr>
                <w:rFonts w:ascii="Arial" w:hAnsi="Arial" w:cs="Arial"/>
                <w:b/>
                <w:bCs/>
                <w:color w:val="000000"/>
                <w:lang w:eastAsia="es-MX"/>
              </w:rPr>
              <w:t>0</w:t>
            </w:r>
          </w:p>
        </w:tc>
        <w:tc>
          <w:tcPr>
            <w:tcW w:w="3359" w:type="pct"/>
            <w:gridSpan w:val="2"/>
            <w:shd w:val="clear" w:color="auto" w:fill="auto"/>
            <w:vAlign w:val="center"/>
            <w:hideMark/>
          </w:tcPr>
          <w:p w:rsidR="00A72AB8" w:rsidRPr="0098104D" w:rsidRDefault="00A72AB8" w:rsidP="00885F2A">
            <w:pPr>
              <w:spacing w:before="100" w:beforeAutospacing="1" w:after="100" w:afterAutospacing="1" w:line="240" w:lineRule="auto"/>
              <w:rPr>
                <w:rFonts w:ascii="Arial" w:hAnsi="Arial" w:cs="Arial"/>
                <w:b/>
                <w:bCs/>
                <w:iCs/>
                <w:color w:val="000000"/>
                <w:lang w:eastAsia="es-MX"/>
              </w:rPr>
            </w:pPr>
            <w:r w:rsidRPr="0098104D">
              <w:rPr>
                <w:rFonts w:ascii="Arial" w:hAnsi="Arial" w:cs="Arial"/>
                <w:b/>
                <w:bCs/>
                <w:iCs/>
                <w:color w:val="000000"/>
                <w:lang w:eastAsia="es-MX"/>
              </w:rPr>
              <w:t>Ingresos derivados de financiamientos</w:t>
            </w:r>
          </w:p>
        </w:tc>
        <w:tc>
          <w:tcPr>
            <w:tcW w:w="1464" w:type="pct"/>
            <w:shd w:val="clear" w:color="auto" w:fill="auto"/>
            <w:noWrap/>
            <w:vAlign w:val="center"/>
            <w:hideMark/>
          </w:tcPr>
          <w:p w:rsidR="00A72AB8" w:rsidRPr="0098104D" w:rsidRDefault="00A72AB8" w:rsidP="00A72AB8">
            <w:pPr>
              <w:spacing w:before="100" w:beforeAutospacing="1" w:after="100" w:afterAutospacing="1" w:line="240" w:lineRule="auto"/>
              <w:jc w:val="right"/>
              <w:rPr>
                <w:rFonts w:ascii="Arial" w:hAnsi="Arial" w:cs="Arial"/>
                <w:b/>
                <w:color w:val="000000"/>
                <w:lang w:eastAsia="es-MX"/>
              </w:rPr>
            </w:pPr>
            <w:r w:rsidRPr="0098104D">
              <w:rPr>
                <w:rFonts w:ascii="Arial" w:hAnsi="Arial" w:cs="Arial"/>
                <w:b/>
                <w:color w:val="000000"/>
                <w:lang w:eastAsia="es-MX"/>
              </w:rPr>
              <w:t>$</w:t>
            </w:r>
            <w:r w:rsidR="004F23AB" w:rsidRPr="0098104D">
              <w:rPr>
                <w:rFonts w:ascii="Arial" w:hAnsi="Arial" w:cs="Arial"/>
                <w:b/>
                <w:color w:val="000000"/>
                <w:lang w:eastAsia="es-MX"/>
              </w:rPr>
              <w:t>2,620,000,000</w:t>
            </w:r>
            <w:r w:rsidRPr="0098104D">
              <w:rPr>
                <w:rFonts w:ascii="Arial" w:hAnsi="Arial" w:cs="Arial"/>
                <w:b/>
                <w:color w:val="000000"/>
                <w:lang w:eastAsia="es-MX"/>
              </w:rPr>
              <w:t xml:space="preserve">.00 </w:t>
            </w:r>
          </w:p>
        </w:tc>
      </w:tr>
      <w:tr w:rsidR="00A72AB8" w:rsidRPr="0098104D" w:rsidTr="00A72AB8">
        <w:trPr>
          <w:trHeight w:val="240"/>
          <w:jc w:val="center"/>
        </w:trPr>
        <w:tc>
          <w:tcPr>
            <w:tcW w:w="177" w:type="pct"/>
            <w:shd w:val="clear" w:color="auto" w:fill="auto"/>
            <w:noWrap/>
            <w:vAlign w:val="center"/>
            <w:hideMark/>
          </w:tcPr>
          <w:p w:rsidR="00A72AB8" w:rsidRPr="0098104D" w:rsidRDefault="00A72AB8" w:rsidP="00885F2A">
            <w:pPr>
              <w:spacing w:before="100" w:beforeAutospacing="1" w:after="100" w:afterAutospacing="1" w:line="240" w:lineRule="auto"/>
              <w:jc w:val="center"/>
              <w:rPr>
                <w:rFonts w:ascii="Arial" w:hAnsi="Arial" w:cs="Arial"/>
                <w:color w:val="000000"/>
                <w:lang w:eastAsia="es-MX"/>
              </w:rPr>
            </w:pPr>
            <w:r w:rsidRPr="0098104D">
              <w:rPr>
                <w:rFonts w:ascii="Arial" w:hAnsi="Arial" w:cs="Arial"/>
                <w:color w:val="000000"/>
                <w:lang w:eastAsia="es-MX"/>
              </w:rPr>
              <w:t> </w:t>
            </w:r>
          </w:p>
        </w:tc>
        <w:tc>
          <w:tcPr>
            <w:tcW w:w="407" w:type="pct"/>
            <w:shd w:val="clear" w:color="auto" w:fill="auto"/>
            <w:noWrap/>
            <w:vAlign w:val="center"/>
            <w:hideMark/>
          </w:tcPr>
          <w:p w:rsidR="00A72AB8" w:rsidRPr="0098104D" w:rsidRDefault="00A72AB8"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0.1.</w:t>
            </w:r>
          </w:p>
        </w:tc>
        <w:tc>
          <w:tcPr>
            <w:tcW w:w="2952" w:type="pct"/>
            <w:shd w:val="clear" w:color="auto" w:fill="auto"/>
            <w:vAlign w:val="center"/>
            <w:hideMark/>
          </w:tcPr>
          <w:p w:rsidR="00A72AB8" w:rsidRPr="0098104D" w:rsidRDefault="00A72AB8" w:rsidP="00885F2A">
            <w:pPr>
              <w:spacing w:before="100" w:beforeAutospacing="1" w:after="100" w:afterAutospacing="1" w:line="240" w:lineRule="auto"/>
              <w:rPr>
                <w:rFonts w:ascii="Arial" w:hAnsi="Arial" w:cs="Arial"/>
                <w:color w:val="000000"/>
                <w:lang w:eastAsia="es-MX"/>
              </w:rPr>
            </w:pPr>
            <w:r w:rsidRPr="0098104D">
              <w:rPr>
                <w:rFonts w:ascii="Arial" w:hAnsi="Arial" w:cs="Arial"/>
                <w:color w:val="000000"/>
                <w:lang w:eastAsia="es-MX"/>
              </w:rPr>
              <w:t>Endeudamiento interno</w:t>
            </w:r>
          </w:p>
        </w:tc>
        <w:tc>
          <w:tcPr>
            <w:tcW w:w="1464" w:type="pct"/>
            <w:shd w:val="clear" w:color="auto" w:fill="auto"/>
            <w:noWrap/>
            <w:vAlign w:val="center"/>
            <w:hideMark/>
          </w:tcPr>
          <w:p w:rsidR="00A72AB8" w:rsidRPr="0098104D" w:rsidRDefault="00660D9A" w:rsidP="00A72AB8">
            <w:pPr>
              <w:spacing w:before="100" w:beforeAutospacing="1" w:after="100" w:afterAutospacing="1" w:line="240" w:lineRule="auto"/>
              <w:jc w:val="right"/>
              <w:rPr>
                <w:rFonts w:ascii="Arial" w:hAnsi="Arial" w:cs="Arial"/>
                <w:color w:val="000000"/>
                <w:lang w:eastAsia="es-MX"/>
              </w:rPr>
            </w:pPr>
            <w:r w:rsidRPr="0098104D">
              <w:rPr>
                <w:rFonts w:ascii="Arial" w:hAnsi="Arial" w:cs="Arial"/>
                <w:color w:val="000000"/>
                <w:lang w:eastAsia="es-MX"/>
              </w:rPr>
              <w:t>0.0</w:t>
            </w:r>
            <w:r w:rsidR="00A72AB8" w:rsidRPr="0098104D">
              <w:rPr>
                <w:rFonts w:ascii="Arial" w:hAnsi="Arial" w:cs="Arial"/>
                <w:color w:val="000000"/>
                <w:lang w:eastAsia="es-MX"/>
              </w:rPr>
              <w:t xml:space="preserve"> </w:t>
            </w:r>
          </w:p>
        </w:tc>
      </w:tr>
      <w:tr w:rsidR="00A72AB8" w:rsidRPr="0098104D" w:rsidTr="00A72AB8">
        <w:trPr>
          <w:trHeight w:val="240"/>
          <w:jc w:val="center"/>
        </w:trPr>
        <w:tc>
          <w:tcPr>
            <w:tcW w:w="177" w:type="pct"/>
            <w:shd w:val="clear" w:color="auto" w:fill="auto"/>
            <w:noWrap/>
            <w:vAlign w:val="center"/>
            <w:hideMark/>
          </w:tcPr>
          <w:p w:rsidR="00A72AB8" w:rsidRPr="0098104D" w:rsidRDefault="00A72AB8" w:rsidP="00885F2A">
            <w:pPr>
              <w:spacing w:before="100" w:beforeAutospacing="1" w:after="100" w:afterAutospacing="1" w:line="240" w:lineRule="auto"/>
              <w:jc w:val="center"/>
              <w:rPr>
                <w:rFonts w:ascii="Arial" w:hAnsi="Arial" w:cs="Arial"/>
                <w:color w:val="000000"/>
                <w:lang w:eastAsia="es-MX"/>
              </w:rPr>
            </w:pPr>
            <w:r w:rsidRPr="0098104D">
              <w:rPr>
                <w:rFonts w:ascii="Arial" w:hAnsi="Arial" w:cs="Arial"/>
                <w:color w:val="000000"/>
                <w:lang w:eastAsia="es-MX"/>
              </w:rPr>
              <w:t> </w:t>
            </w:r>
          </w:p>
        </w:tc>
        <w:tc>
          <w:tcPr>
            <w:tcW w:w="407" w:type="pct"/>
            <w:shd w:val="clear" w:color="auto" w:fill="auto"/>
            <w:noWrap/>
            <w:vAlign w:val="center"/>
            <w:hideMark/>
          </w:tcPr>
          <w:p w:rsidR="00A72AB8" w:rsidRPr="0098104D" w:rsidRDefault="00A72AB8"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0.1.1</w:t>
            </w:r>
            <w:r w:rsidR="003B2C3A" w:rsidRPr="0098104D">
              <w:rPr>
                <w:rFonts w:ascii="Arial" w:hAnsi="Arial" w:cs="Arial"/>
                <w:b/>
                <w:bCs/>
                <w:color w:val="000000"/>
                <w:lang w:eastAsia="es-MX"/>
              </w:rPr>
              <w:t>.</w:t>
            </w:r>
          </w:p>
        </w:tc>
        <w:tc>
          <w:tcPr>
            <w:tcW w:w="2952" w:type="pct"/>
            <w:shd w:val="clear" w:color="auto" w:fill="auto"/>
            <w:vAlign w:val="center"/>
            <w:hideMark/>
          </w:tcPr>
          <w:p w:rsidR="00A72AB8" w:rsidRPr="0098104D" w:rsidRDefault="004F23AB" w:rsidP="00A17DB0">
            <w:pPr>
              <w:spacing w:before="100" w:beforeAutospacing="1" w:after="100" w:afterAutospacing="1" w:line="240" w:lineRule="auto"/>
              <w:rPr>
                <w:rFonts w:ascii="Arial" w:hAnsi="Arial" w:cs="Arial"/>
                <w:color w:val="000000"/>
                <w:lang w:eastAsia="es-MX"/>
              </w:rPr>
            </w:pPr>
            <w:r w:rsidRPr="0098104D">
              <w:rPr>
                <w:rFonts w:ascii="Arial" w:hAnsi="Arial" w:cs="Arial"/>
                <w:color w:val="000000"/>
                <w:lang w:eastAsia="es-MX"/>
              </w:rPr>
              <w:t xml:space="preserve">Empréstitos con fuente de pago </w:t>
            </w:r>
            <w:r w:rsidR="00A17DB0" w:rsidRPr="0098104D">
              <w:rPr>
                <w:rFonts w:ascii="Arial" w:hAnsi="Arial" w:cs="Arial"/>
                <w:color w:val="000000"/>
                <w:lang w:eastAsia="es-MX"/>
              </w:rPr>
              <w:t>participaciones</w:t>
            </w:r>
          </w:p>
        </w:tc>
        <w:tc>
          <w:tcPr>
            <w:tcW w:w="1464" w:type="pct"/>
            <w:shd w:val="clear" w:color="auto" w:fill="auto"/>
            <w:noWrap/>
            <w:vAlign w:val="center"/>
            <w:hideMark/>
          </w:tcPr>
          <w:p w:rsidR="00A72AB8" w:rsidRPr="0098104D" w:rsidRDefault="00A72AB8" w:rsidP="00A72AB8">
            <w:pPr>
              <w:spacing w:before="100" w:beforeAutospacing="1" w:after="100" w:afterAutospacing="1" w:line="240" w:lineRule="auto"/>
              <w:jc w:val="right"/>
              <w:rPr>
                <w:rFonts w:ascii="Arial" w:hAnsi="Arial" w:cs="Arial"/>
                <w:color w:val="000000"/>
                <w:lang w:eastAsia="es-MX"/>
              </w:rPr>
            </w:pPr>
            <w:r w:rsidRPr="0098104D">
              <w:rPr>
                <w:rFonts w:ascii="Arial" w:hAnsi="Arial" w:cs="Arial"/>
                <w:color w:val="000000"/>
                <w:lang w:eastAsia="es-MX"/>
              </w:rPr>
              <w:t>$</w:t>
            </w:r>
            <w:r w:rsidR="00A17DB0" w:rsidRPr="0098104D">
              <w:rPr>
                <w:rFonts w:ascii="Arial" w:hAnsi="Arial" w:cs="Arial"/>
                <w:color w:val="000000"/>
                <w:lang w:eastAsia="es-MX"/>
              </w:rPr>
              <w:t>2,620,000,000</w:t>
            </w:r>
            <w:r w:rsidRPr="0098104D">
              <w:rPr>
                <w:rFonts w:ascii="Arial" w:hAnsi="Arial" w:cs="Arial"/>
                <w:color w:val="000000"/>
                <w:lang w:eastAsia="es-MX"/>
              </w:rPr>
              <w:t xml:space="preserve">.00 </w:t>
            </w:r>
          </w:p>
        </w:tc>
      </w:tr>
      <w:tr w:rsidR="00A17DB0" w:rsidRPr="0098104D" w:rsidTr="00A72AB8">
        <w:trPr>
          <w:trHeight w:val="240"/>
          <w:jc w:val="center"/>
        </w:trPr>
        <w:tc>
          <w:tcPr>
            <w:tcW w:w="177" w:type="pct"/>
            <w:shd w:val="clear" w:color="auto" w:fill="auto"/>
            <w:noWrap/>
            <w:vAlign w:val="center"/>
            <w:hideMark/>
          </w:tcPr>
          <w:p w:rsidR="00A17DB0" w:rsidRPr="0098104D" w:rsidRDefault="00A17DB0" w:rsidP="00885F2A">
            <w:pPr>
              <w:spacing w:before="100" w:beforeAutospacing="1" w:after="100" w:afterAutospacing="1" w:line="240" w:lineRule="auto"/>
              <w:jc w:val="center"/>
              <w:rPr>
                <w:rFonts w:ascii="Arial" w:hAnsi="Arial" w:cs="Arial"/>
                <w:color w:val="000000"/>
                <w:lang w:eastAsia="es-MX"/>
              </w:rPr>
            </w:pPr>
          </w:p>
        </w:tc>
        <w:tc>
          <w:tcPr>
            <w:tcW w:w="407" w:type="pct"/>
            <w:shd w:val="clear" w:color="auto" w:fill="auto"/>
            <w:noWrap/>
            <w:vAlign w:val="center"/>
            <w:hideMark/>
          </w:tcPr>
          <w:p w:rsidR="00A17DB0" w:rsidRPr="0098104D" w:rsidRDefault="00A17DB0"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0.1.2.</w:t>
            </w:r>
          </w:p>
        </w:tc>
        <w:tc>
          <w:tcPr>
            <w:tcW w:w="2952" w:type="pct"/>
            <w:shd w:val="clear" w:color="auto" w:fill="auto"/>
            <w:vAlign w:val="center"/>
            <w:hideMark/>
          </w:tcPr>
          <w:p w:rsidR="00A17DB0" w:rsidRPr="0098104D" w:rsidRDefault="00A17DB0" w:rsidP="00885F2A">
            <w:pPr>
              <w:spacing w:before="100" w:beforeAutospacing="1" w:after="100" w:afterAutospacing="1" w:line="240" w:lineRule="auto"/>
              <w:rPr>
                <w:rFonts w:ascii="Arial" w:hAnsi="Arial" w:cs="Arial"/>
                <w:color w:val="000000"/>
                <w:lang w:eastAsia="es-MX"/>
              </w:rPr>
            </w:pPr>
            <w:r w:rsidRPr="0098104D">
              <w:rPr>
                <w:rFonts w:ascii="Arial" w:hAnsi="Arial" w:cs="Arial"/>
                <w:color w:val="000000"/>
                <w:lang w:eastAsia="es-MX"/>
              </w:rPr>
              <w:t>Empréstitos con fuente de pago aportaciones</w:t>
            </w:r>
          </w:p>
        </w:tc>
        <w:tc>
          <w:tcPr>
            <w:tcW w:w="1464" w:type="pct"/>
            <w:shd w:val="clear" w:color="auto" w:fill="auto"/>
            <w:noWrap/>
            <w:vAlign w:val="center"/>
            <w:hideMark/>
          </w:tcPr>
          <w:p w:rsidR="00A17DB0" w:rsidRPr="0098104D" w:rsidRDefault="00A17DB0" w:rsidP="00A72AB8">
            <w:pPr>
              <w:spacing w:before="100" w:beforeAutospacing="1" w:after="100" w:afterAutospacing="1" w:line="240" w:lineRule="auto"/>
              <w:jc w:val="right"/>
              <w:rPr>
                <w:rFonts w:ascii="Arial" w:hAnsi="Arial" w:cs="Arial"/>
                <w:color w:val="000000"/>
                <w:lang w:eastAsia="es-MX"/>
              </w:rPr>
            </w:pPr>
            <w:r w:rsidRPr="0098104D">
              <w:rPr>
                <w:rFonts w:ascii="Arial" w:hAnsi="Arial" w:cs="Arial"/>
                <w:color w:val="000000"/>
                <w:lang w:eastAsia="es-MX"/>
              </w:rPr>
              <w:t>0.0</w:t>
            </w:r>
          </w:p>
        </w:tc>
      </w:tr>
      <w:tr w:rsidR="00A72AB8" w:rsidRPr="0098104D" w:rsidTr="00A72AB8">
        <w:trPr>
          <w:trHeight w:val="240"/>
          <w:jc w:val="center"/>
        </w:trPr>
        <w:tc>
          <w:tcPr>
            <w:tcW w:w="177" w:type="pct"/>
            <w:shd w:val="clear" w:color="auto" w:fill="auto"/>
            <w:noWrap/>
            <w:vAlign w:val="center"/>
            <w:hideMark/>
          </w:tcPr>
          <w:p w:rsidR="00A72AB8" w:rsidRPr="0098104D" w:rsidRDefault="00A72AB8" w:rsidP="00885F2A">
            <w:pPr>
              <w:spacing w:before="100" w:beforeAutospacing="1" w:after="100" w:afterAutospacing="1" w:line="240" w:lineRule="auto"/>
              <w:jc w:val="center"/>
              <w:rPr>
                <w:rFonts w:ascii="Arial" w:hAnsi="Arial" w:cs="Arial"/>
                <w:color w:val="000000"/>
                <w:lang w:eastAsia="es-MX"/>
              </w:rPr>
            </w:pPr>
            <w:r w:rsidRPr="0098104D">
              <w:rPr>
                <w:rFonts w:ascii="Arial" w:hAnsi="Arial" w:cs="Arial"/>
                <w:color w:val="000000"/>
                <w:lang w:eastAsia="es-MX"/>
              </w:rPr>
              <w:t> </w:t>
            </w:r>
          </w:p>
        </w:tc>
        <w:tc>
          <w:tcPr>
            <w:tcW w:w="407" w:type="pct"/>
            <w:shd w:val="clear" w:color="auto" w:fill="auto"/>
            <w:noWrap/>
            <w:vAlign w:val="center"/>
            <w:hideMark/>
          </w:tcPr>
          <w:p w:rsidR="00A72AB8" w:rsidRPr="0098104D" w:rsidRDefault="00A72AB8"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0.2.</w:t>
            </w:r>
          </w:p>
        </w:tc>
        <w:tc>
          <w:tcPr>
            <w:tcW w:w="2952" w:type="pct"/>
            <w:shd w:val="clear" w:color="auto" w:fill="auto"/>
            <w:vAlign w:val="center"/>
            <w:hideMark/>
          </w:tcPr>
          <w:p w:rsidR="00A72AB8" w:rsidRPr="0098104D" w:rsidRDefault="00A72AB8" w:rsidP="00885F2A">
            <w:pPr>
              <w:spacing w:before="100" w:beforeAutospacing="1" w:after="100" w:afterAutospacing="1" w:line="240" w:lineRule="auto"/>
              <w:rPr>
                <w:rFonts w:ascii="Arial" w:hAnsi="Arial" w:cs="Arial"/>
                <w:color w:val="000000"/>
                <w:lang w:eastAsia="es-MX"/>
              </w:rPr>
            </w:pPr>
            <w:r w:rsidRPr="0098104D">
              <w:rPr>
                <w:rFonts w:ascii="Arial" w:hAnsi="Arial" w:cs="Arial"/>
                <w:color w:val="000000"/>
                <w:lang w:eastAsia="es-MX"/>
              </w:rPr>
              <w:t>Endeudamiento externo</w:t>
            </w:r>
          </w:p>
        </w:tc>
        <w:tc>
          <w:tcPr>
            <w:tcW w:w="1464" w:type="pct"/>
            <w:shd w:val="clear" w:color="auto" w:fill="auto"/>
            <w:noWrap/>
            <w:vAlign w:val="center"/>
            <w:hideMark/>
          </w:tcPr>
          <w:p w:rsidR="00A72AB8" w:rsidRPr="0098104D" w:rsidRDefault="00A72AB8" w:rsidP="00A17DB0">
            <w:pPr>
              <w:spacing w:before="100" w:beforeAutospacing="1" w:after="100" w:afterAutospacing="1" w:line="240" w:lineRule="auto"/>
              <w:jc w:val="right"/>
              <w:rPr>
                <w:rFonts w:ascii="Arial" w:hAnsi="Arial" w:cs="Arial"/>
                <w:color w:val="000000"/>
                <w:lang w:eastAsia="es-MX"/>
              </w:rPr>
            </w:pPr>
            <w:r w:rsidRPr="0098104D">
              <w:rPr>
                <w:rFonts w:ascii="Arial" w:hAnsi="Arial" w:cs="Arial"/>
                <w:color w:val="000000"/>
                <w:lang w:eastAsia="es-MX"/>
              </w:rPr>
              <w:t> </w:t>
            </w:r>
            <w:r w:rsidR="00A17DB0" w:rsidRPr="0098104D">
              <w:rPr>
                <w:rFonts w:ascii="Arial" w:hAnsi="Arial" w:cs="Arial"/>
                <w:color w:val="000000"/>
                <w:lang w:eastAsia="es-MX"/>
              </w:rPr>
              <w:t>0.0</w:t>
            </w:r>
          </w:p>
        </w:tc>
      </w:tr>
      <w:tr w:rsidR="003B2C3A" w:rsidRPr="0098104D" w:rsidTr="00A72AB8">
        <w:trPr>
          <w:trHeight w:val="240"/>
          <w:jc w:val="center"/>
        </w:trPr>
        <w:tc>
          <w:tcPr>
            <w:tcW w:w="177" w:type="pct"/>
            <w:shd w:val="clear" w:color="auto" w:fill="auto"/>
            <w:noWrap/>
            <w:vAlign w:val="center"/>
          </w:tcPr>
          <w:p w:rsidR="003B2C3A" w:rsidRPr="0098104D" w:rsidRDefault="003B2C3A" w:rsidP="00885F2A">
            <w:pPr>
              <w:spacing w:before="100" w:beforeAutospacing="1" w:after="100" w:afterAutospacing="1" w:line="240" w:lineRule="auto"/>
              <w:jc w:val="center"/>
              <w:rPr>
                <w:rFonts w:ascii="Arial" w:hAnsi="Arial" w:cs="Arial"/>
                <w:color w:val="000000"/>
                <w:lang w:eastAsia="es-MX"/>
              </w:rPr>
            </w:pPr>
          </w:p>
        </w:tc>
        <w:tc>
          <w:tcPr>
            <w:tcW w:w="407" w:type="pct"/>
            <w:shd w:val="clear" w:color="auto" w:fill="auto"/>
            <w:noWrap/>
            <w:vAlign w:val="center"/>
          </w:tcPr>
          <w:p w:rsidR="003B2C3A" w:rsidRPr="0098104D" w:rsidRDefault="003B2C3A" w:rsidP="00885F2A">
            <w:pPr>
              <w:spacing w:before="100" w:beforeAutospacing="1" w:after="100" w:afterAutospacing="1" w:line="240" w:lineRule="auto"/>
              <w:rPr>
                <w:rFonts w:ascii="Arial" w:hAnsi="Arial" w:cs="Arial"/>
                <w:b/>
                <w:bCs/>
                <w:color w:val="000000"/>
                <w:lang w:eastAsia="es-MX"/>
              </w:rPr>
            </w:pPr>
            <w:r w:rsidRPr="0098104D">
              <w:rPr>
                <w:rFonts w:ascii="Arial" w:hAnsi="Arial" w:cs="Arial"/>
                <w:b/>
                <w:bCs/>
                <w:color w:val="000000"/>
                <w:lang w:eastAsia="es-MX"/>
              </w:rPr>
              <w:t>0.3.</w:t>
            </w:r>
          </w:p>
        </w:tc>
        <w:tc>
          <w:tcPr>
            <w:tcW w:w="2952" w:type="pct"/>
            <w:shd w:val="clear" w:color="auto" w:fill="auto"/>
            <w:vAlign w:val="center"/>
          </w:tcPr>
          <w:p w:rsidR="003B2C3A" w:rsidRPr="0098104D" w:rsidRDefault="003B2C3A" w:rsidP="00885F2A">
            <w:pPr>
              <w:spacing w:before="100" w:beforeAutospacing="1" w:after="100" w:afterAutospacing="1" w:line="240" w:lineRule="auto"/>
              <w:rPr>
                <w:rFonts w:ascii="Arial" w:hAnsi="Arial" w:cs="Arial"/>
                <w:color w:val="000000"/>
                <w:lang w:eastAsia="es-MX"/>
              </w:rPr>
            </w:pPr>
            <w:r w:rsidRPr="0098104D">
              <w:rPr>
                <w:rFonts w:ascii="Arial" w:hAnsi="Arial" w:cs="Arial"/>
                <w:color w:val="000000"/>
                <w:lang w:eastAsia="es-MX"/>
              </w:rPr>
              <w:t>Financiamiento interno</w:t>
            </w:r>
          </w:p>
        </w:tc>
        <w:tc>
          <w:tcPr>
            <w:tcW w:w="1464" w:type="pct"/>
            <w:shd w:val="clear" w:color="auto" w:fill="auto"/>
            <w:noWrap/>
            <w:vAlign w:val="center"/>
          </w:tcPr>
          <w:p w:rsidR="003B2C3A" w:rsidRPr="0098104D" w:rsidRDefault="00A17DB0" w:rsidP="003B2C3A">
            <w:pPr>
              <w:spacing w:before="100" w:beforeAutospacing="1" w:after="100" w:afterAutospacing="1" w:line="240" w:lineRule="auto"/>
              <w:jc w:val="right"/>
              <w:rPr>
                <w:rFonts w:ascii="Arial" w:hAnsi="Arial" w:cs="Arial"/>
                <w:color w:val="000000"/>
                <w:lang w:eastAsia="es-MX"/>
              </w:rPr>
            </w:pPr>
            <w:r w:rsidRPr="0098104D">
              <w:rPr>
                <w:rFonts w:ascii="Arial" w:hAnsi="Arial" w:cs="Arial"/>
                <w:color w:val="000000"/>
                <w:lang w:eastAsia="es-MX"/>
              </w:rPr>
              <w:t>0.0</w:t>
            </w:r>
          </w:p>
        </w:tc>
      </w:tr>
    </w:tbl>
    <w:p w:rsidR="003B2C3A" w:rsidRPr="0098104D" w:rsidRDefault="003B2C3A" w:rsidP="00A72AB8">
      <w:pPr>
        <w:spacing w:before="100" w:beforeAutospacing="1" w:after="100" w:afterAutospacing="1" w:line="240" w:lineRule="auto"/>
        <w:jc w:val="both"/>
        <w:rPr>
          <w:rFonts w:ascii="Arial" w:hAnsi="Arial" w:cs="Arial"/>
          <w:sz w:val="24"/>
        </w:rPr>
      </w:pPr>
      <w:r w:rsidRPr="0098104D">
        <w:rPr>
          <w:rFonts w:ascii="Arial" w:hAnsi="Arial" w:cs="Arial"/>
          <w:sz w:val="24"/>
        </w:rPr>
        <w:t>…</w:t>
      </w:r>
    </w:p>
    <w:p w:rsidR="003B2C3A" w:rsidRPr="0098104D" w:rsidRDefault="003B2C3A" w:rsidP="00A72AB8">
      <w:pPr>
        <w:spacing w:before="100" w:beforeAutospacing="1" w:after="100" w:afterAutospacing="1" w:line="240" w:lineRule="auto"/>
        <w:jc w:val="both"/>
        <w:rPr>
          <w:rFonts w:ascii="Arial" w:hAnsi="Arial" w:cs="Arial"/>
          <w:sz w:val="24"/>
        </w:rPr>
      </w:pPr>
      <w:r w:rsidRPr="0098104D">
        <w:rPr>
          <w:rFonts w:ascii="Arial" w:hAnsi="Arial" w:cs="Arial"/>
          <w:sz w:val="24"/>
        </w:rPr>
        <w:t>…</w:t>
      </w:r>
    </w:p>
    <w:p w:rsidR="00A72AB8" w:rsidRPr="0098104D" w:rsidRDefault="00A72AB8" w:rsidP="00A72AB8">
      <w:pPr>
        <w:spacing w:before="100" w:beforeAutospacing="1" w:after="100" w:afterAutospacing="1" w:line="240" w:lineRule="auto"/>
        <w:jc w:val="center"/>
        <w:rPr>
          <w:rFonts w:ascii="Arial" w:hAnsi="Arial" w:cs="Arial"/>
          <w:b/>
          <w:sz w:val="24"/>
        </w:rPr>
      </w:pPr>
      <w:r w:rsidRPr="0098104D">
        <w:rPr>
          <w:rFonts w:ascii="Arial" w:hAnsi="Arial" w:cs="Arial"/>
          <w:b/>
          <w:sz w:val="24"/>
        </w:rPr>
        <w:t>Artículos transitorios</w:t>
      </w:r>
    </w:p>
    <w:p w:rsidR="00A72AB8" w:rsidRPr="0098104D" w:rsidRDefault="00A72AB8" w:rsidP="00A72AB8">
      <w:pPr>
        <w:spacing w:before="100" w:beforeAutospacing="1" w:after="100" w:afterAutospacing="1" w:line="240" w:lineRule="auto"/>
        <w:jc w:val="both"/>
        <w:rPr>
          <w:rFonts w:ascii="Arial" w:hAnsi="Arial" w:cs="Arial"/>
          <w:b/>
          <w:sz w:val="24"/>
        </w:rPr>
      </w:pPr>
      <w:r w:rsidRPr="0098104D">
        <w:rPr>
          <w:rFonts w:ascii="Arial" w:hAnsi="Arial" w:cs="Arial"/>
          <w:b/>
          <w:sz w:val="24"/>
        </w:rPr>
        <w:t xml:space="preserve">Primero. Entrada en vigor </w:t>
      </w:r>
    </w:p>
    <w:p w:rsidR="00A72AB8" w:rsidRPr="0098104D" w:rsidRDefault="00A72AB8" w:rsidP="00A72AB8">
      <w:pPr>
        <w:spacing w:before="100" w:beforeAutospacing="1" w:after="100" w:afterAutospacing="1" w:line="240" w:lineRule="auto"/>
        <w:jc w:val="both"/>
        <w:rPr>
          <w:rFonts w:ascii="Arial" w:hAnsi="Arial" w:cs="Arial"/>
          <w:sz w:val="24"/>
        </w:rPr>
      </w:pPr>
      <w:r w:rsidRPr="0098104D">
        <w:rPr>
          <w:rFonts w:ascii="Arial" w:hAnsi="Arial" w:cs="Arial"/>
          <w:sz w:val="24"/>
        </w:rPr>
        <w:t>Este decreto entrará en vigor el día siguiente al de su publicación en el Diario Oficial del Gobierno del Estado de Yucatán.</w:t>
      </w:r>
    </w:p>
    <w:p w:rsidR="00FA30D5" w:rsidRPr="0098104D" w:rsidRDefault="00FA30D5" w:rsidP="00A72AB8">
      <w:pPr>
        <w:spacing w:before="100" w:beforeAutospacing="1" w:after="100" w:afterAutospacing="1" w:line="240" w:lineRule="auto"/>
        <w:jc w:val="both"/>
        <w:rPr>
          <w:rFonts w:ascii="Arial" w:hAnsi="Arial" w:cs="Arial"/>
          <w:b/>
          <w:sz w:val="24"/>
        </w:rPr>
      </w:pPr>
      <w:r w:rsidRPr="0098104D">
        <w:rPr>
          <w:rFonts w:ascii="Arial" w:hAnsi="Arial" w:cs="Arial"/>
          <w:b/>
          <w:sz w:val="24"/>
        </w:rPr>
        <w:t>Segu</w:t>
      </w:r>
      <w:r w:rsidR="00545B7A" w:rsidRPr="0098104D">
        <w:rPr>
          <w:rFonts w:ascii="Arial" w:hAnsi="Arial" w:cs="Arial"/>
          <w:b/>
          <w:sz w:val="24"/>
        </w:rPr>
        <w:t>ndo. Inscripción en el registro</w:t>
      </w:r>
    </w:p>
    <w:p w:rsidR="00FA30D5" w:rsidRPr="0098104D" w:rsidRDefault="00FA30D5" w:rsidP="00A72AB8">
      <w:pPr>
        <w:spacing w:before="100" w:beforeAutospacing="1" w:after="100" w:afterAutospacing="1" w:line="240" w:lineRule="auto"/>
        <w:jc w:val="both"/>
        <w:rPr>
          <w:rFonts w:ascii="Arial" w:hAnsi="Arial" w:cs="Arial"/>
          <w:sz w:val="24"/>
        </w:rPr>
      </w:pPr>
      <w:r w:rsidRPr="0098104D">
        <w:rPr>
          <w:rFonts w:ascii="Arial" w:hAnsi="Arial" w:cs="Arial"/>
          <w:sz w:val="24"/>
        </w:rPr>
        <w:t>El o los financiamientos que se contraten al amparo del presente decreto se deberán inscribir en el Registro de Empréstitos y Obligaciones del Estado de Yucatán, a cargo de la Secretaría de Administración y Finanzas, así como en el Registro Público Único de Financiamientos y Obligaciones de Entidades Federativas y Municipios, a cargo de la Secretaría de Hacienda y Crédito Público.</w:t>
      </w:r>
    </w:p>
    <w:p w:rsidR="00A72AB8" w:rsidRPr="0098104D" w:rsidRDefault="00FA30D5" w:rsidP="00A72AB8">
      <w:pPr>
        <w:spacing w:before="100" w:beforeAutospacing="1" w:after="100" w:afterAutospacing="1" w:line="240" w:lineRule="auto"/>
        <w:jc w:val="both"/>
        <w:rPr>
          <w:rFonts w:ascii="Arial" w:hAnsi="Arial" w:cs="Arial"/>
          <w:b/>
          <w:sz w:val="24"/>
        </w:rPr>
      </w:pPr>
      <w:r w:rsidRPr="0098104D">
        <w:rPr>
          <w:rFonts w:ascii="Arial" w:hAnsi="Arial" w:cs="Arial"/>
          <w:b/>
          <w:sz w:val="24"/>
        </w:rPr>
        <w:t>Tercero</w:t>
      </w:r>
      <w:r w:rsidR="00A72AB8" w:rsidRPr="0098104D">
        <w:rPr>
          <w:rFonts w:ascii="Arial" w:hAnsi="Arial" w:cs="Arial"/>
          <w:b/>
          <w:sz w:val="24"/>
        </w:rPr>
        <w:t>. Adecuaciones presupuestales</w:t>
      </w:r>
    </w:p>
    <w:p w:rsidR="00A72AB8" w:rsidRDefault="00A72AB8" w:rsidP="00A72AB8">
      <w:pPr>
        <w:spacing w:before="100" w:beforeAutospacing="1" w:after="100" w:afterAutospacing="1" w:line="240" w:lineRule="auto"/>
        <w:jc w:val="both"/>
        <w:rPr>
          <w:rFonts w:ascii="Arial" w:hAnsi="Arial" w:cs="Arial"/>
          <w:sz w:val="24"/>
        </w:rPr>
      </w:pPr>
      <w:r w:rsidRPr="0098104D">
        <w:rPr>
          <w:rFonts w:ascii="Arial" w:hAnsi="Arial" w:cs="Arial"/>
          <w:sz w:val="24"/>
        </w:rPr>
        <w:t xml:space="preserve">El Ejecutivo estatal, con base en esta autorización y a efecto de prever el monto o partidas para el servicio de la deuda que contraiga al contratar el financiamiento autorizado, deberá realizar las adecuaciones presupuestales y las relativas al ejercicio de los recursos derivados de </w:t>
      </w:r>
      <w:r w:rsidR="00BB6582" w:rsidRPr="0098104D">
        <w:rPr>
          <w:rFonts w:ascii="Arial" w:hAnsi="Arial" w:cs="Arial"/>
          <w:sz w:val="24"/>
        </w:rPr>
        <w:t xml:space="preserve">este </w:t>
      </w:r>
      <w:r w:rsidRPr="0098104D">
        <w:rPr>
          <w:rFonts w:ascii="Arial" w:hAnsi="Arial" w:cs="Arial"/>
          <w:sz w:val="24"/>
        </w:rPr>
        <w:t>financiamiento, de conformidad con las disposiciones establecidas en la Ley de Presupuesto y Contabilidad Gubernamental del Estado de Yucatán y su reglamento.</w:t>
      </w:r>
    </w:p>
    <w:p w:rsidR="00C80533" w:rsidRDefault="00C80533" w:rsidP="00A72AB8">
      <w:pPr>
        <w:spacing w:before="100" w:beforeAutospacing="1" w:after="100" w:afterAutospacing="1" w:line="240" w:lineRule="auto"/>
        <w:jc w:val="both"/>
        <w:rPr>
          <w:rFonts w:ascii="Arial" w:hAnsi="Arial" w:cs="Arial"/>
          <w:sz w:val="24"/>
        </w:rPr>
      </w:pPr>
    </w:p>
    <w:p w:rsidR="00C80533" w:rsidRDefault="00C80533" w:rsidP="00A72AB8">
      <w:pPr>
        <w:spacing w:before="100" w:beforeAutospacing="1" w:after="100" w:afterAutospacing="1" w:line="240" w:lineRule="auto"/>
        <w:jc w:val="both"/>
        <w:rPr>
          <w:rFonts w:ascii="Arial" w:hAnsi="Arial" w:cs="Arial"/>
          <w:sz w:val="24"/>
        </w:rPr>
      </w:pPr>
    </w:p>
    <w:p w:rsidR="00C80533" w:rsidRDefault="00C80533" w:rsidP="00A72AB8">
      <w:pPr>
        <w:spacing w:before="100" w:beforeAutospacing="1" w:after="100" w:afterAutospacing="1" w:line="240" w:lineRule="auto"/>
        <w:jc w:val="both"/>
        <w:rPr>
          <w:rFonts w:ascii="Arial" w:hAnsi="Arial" w:cs="Arial"/>
          <w:sz w:val="24"/>
        </w:rPr>
      </w:pPr>
    </w:p>
    <w:p w:rsidR="00C80533" w:rsidRPr="0098104D" w:rsidRDefault="00C80533" w:rsidP="00A72AB8">
      <w:pPr>
        <w:spacing w:before="100" w:beforeAutospacing="1" w:after="100" w:afterAutospacing="1" w:line="240" w:lineRule="auto"/>
        <w:jc w:val="both"/>
        <w:rPr>
          <w:rFonts w:ascii="Arial" w:hAnsi="Arial" w:cs="Arial"/>
          <w:sz w:val="24"/>
        </w:rPr>
      </w:pPr>
    </w:p>
    <w:p w:rsidR="00A72AB8" w:rsidRPr="0098104D" w:rsidRDefault="00C80533" w:rsidP="00A72AB8">
      <w:pPr>
        <w:spacing w:before="100" w:beforeAutospacing="1" w:after="100" w:afterAutospacing="1" w:line="240" w:lineRule="auto"/>
        <w:jc w:val="both"/>
        <w:rPr>
          <w:rFonts w:ascii="Arial" w:hAnsi="Arial" w:cs="Arial"/>
          <w:b/>
          <w:sz w:val="24"/>
        </w:rPr>
      </w:pPr>
      <w:r w:rsidRPr="0098104D">
        <w:rPr>
          <w:rFonts w:ascii="Arial" w:hAnsi="Arial" w:cs="Arial"/>
          <w:noProof/>
          <w:sz w:val="24"/>
          <w:lang w:eastAsia="es-MX"/>
        </w:rPr>
        <mc:AlternateContent>
          <mc:Choice Requires="wps">
            <w:drawing>
              <wp:anchor distT="0" distB="0" distL="114300" distR="114300" simplePos="0" relativeHeight="251658240" behindDoc="0" locked="0" layoutInCell="1" allowOverlap="1">
                <wp:simplePos x="0" y="0"/>
                <wp:positionH relativeFrom="column">
                  <wp:posOffset>1395584</wp:posOffset>
                </wp:positionH>
                <wp:positionV relativeFrom="paragraph">
                  <wp:posOffset>-1260328</wp:posOffset>
                </wp:positionV>
                <wp:extent cx="4272280" cy="10521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56F" w:rsidRPr="00AE755A" w:rsidRDefault="00CD356F" w:rsidP="00134A61">
                            <w:pPr>
                              <w:spacing w:before="100" w:beforeAutospacing="1" w:after="100" w:afterAutospacing="1" w:line="240" w:lineRule="auto"/>
                              <w:jc w:val="both"/>
                              <w:rPr>
                                <w:rFonts w:ascii="Arial" w:hAnsi="Arial" w:cs="Arial"/>
                                <w:sz w:val="18"/>
                                <w:lang w:val="es-ES"/>
                              </w:rPr>
                            </w:pPr>
                            <w:r w:rsidRPr="00AE755A">
                              <w:rPr>
                                <w:rFonts w:ascii="Arial" w:hAnsi="Arial" w:cs="Arial"/>
                                <w:sz w:val="16"/>
                                <w:lang w:val="es-ES"/>
                              </w:rPr>
                              <w:t>Esta hoja de firmas forma parte de la iniciativa de Decreto por el que se autoriza al Poder Ejecutivo del Estado de Yucatán para contratar empréstitos que se destinarán a inversiones públicas productivas cuyo objetivo es la implementación del Sistema Integral de Seguridad Electrónica denominado “Fortalecimiento Tecnológico de Seguridad y Monitoreo, Yucatán Seguro”, y para afectar ingresos y derechos correspondientes al Fondo General de Participaciones, como garantía y fuente de pago de la operación de financiamiento; y se modifica la Ley de Ingresos del Estado de Yucatán para el Ejercicio Fiscal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9pt;margin-top:-99.25pt;width:336.4pt;height: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BOgwIAABA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" stroked="f">
                <v:textbox>
                  <w:txbxContent>
                    <w:p w:rsidR="00CD356F" w:rsidRPr="00AE755A" w:rsidRDefault="00CD356F" w:rsidP="00134A61">
                      <w:pPr>
                        <w:spacing w:before="100" w:beforeAutospacing="1" w:after="100" w:afterAutospacing="1" w:line="240" w:lineRule="auto"/>
                        <w:jc w:val="both"/>
                        <w:rPr>
                          <w:rFonts w:ascii="Arial" w:hAnsi="Arial" w:cs="Arial"/>
                          <w:sz w:val="18"/>
                          <w:lang w:val="es-ES"/>
                        </w:rPr>
                      </w:pPr>
                      <w:r w:rsidRPr="00AE755A">
                        <w:rPr>
                          <w:rFonts w:ascii="Arial" w:hAnsi="Arial" w:cs="Arial"/>
                          <w:sz w:val="16"/>
                          <w:lang w:val="es-ES"/>
                        </w:rPr>
                        <w:t>Esta hoja de firmas forma parte de la iniciativa de Decreto por el que se autoriza al Poder Ejecutivo del Estado de Yucatán para contratar empréstitos que se destinarán a inversiones públicas productivas cuyo objetivo es la implementación del Sistema Integral de Seguridad Electrónica denominado “Fortalecimiento Tecnológico de Seguridad y Monitoreo, Yucatán Seguro”, y para afectar ingresos y derechos correspondientes al Fondo General de Participaciones, como garantía y fuente de pago de la operación de financiamiento; y se modifica la Ley de Ingresos del Estado de Yucatán para el Ejercicio Fiscal 2019.</w:t>
                      </w:r>
                    </w:p>
                  </w:txbxContent>
                </v:textbox>
              </v:shape>
            </w:pict>
          </mc:Fallback>
        </mc:AlternateContent>
      </w:r>
      <w:r w:rsidR="00FA30D5" w:rsidRPr="0098104D">
        <w:rPr>
          <w:rFonts w:ascii="Arial" w:hAnsi="Arial" w:cs="Arial"/>
          <w:b/>
          <w:sz w:val="24"/>
        </w:rPr>
        <w:t>Cuarto</w:t>
      </w:r>
      <w:r w:rsidR="00A72AB8" w:rsidRPr="0098104D">
        <w:rPr>
          <w:rFonts w:ascii="Arial" w:hAnsi="Arial" w:cs="Arial"/>
          <w:b/>
          <w:sz w:val="24"/>
        </w:rPr>
        <w:t>. Informes trimestrales</w:t>
      </w:r>
    </w:p>
    <w:p w:rsidR="00A72AB8" w:rsidRPr="0098104D" w:rsidRDefault="00A72AB8" w:rsidP="00A72AB8">
      <w:pPr>
        <w:spacing w:before="100" w:beforeAutospacing="1" w:after="100" w:afterAutospacing="1" w:line="240" w:lineRule="auto"/>
        <w:jc w:val="both"/>
        <w:rPr>
          <w:rFonts w:ascii="Arial" w:hAnsi="Arial" w:cs="Arial"/>
          <w:sz w:val="24"/>
        </w:rPr>
      </w:pPr>
      <w:r w:rsidRPr="0098104D">
        <w:rPr>
          <w:rFonts w:ascii="Arial" w:hAnsi="Arial" w:cs="Arial"/>
          <w:sz w:val="24"/>
        </w:rPr>
        <w:t>La Secretaría de Administración y Finanzas deberá incorporar a los informes trime</w:t>
      </w:r>
      <w:r w:rsidR="00143F16" w:rsidRPr="0098104D">
        <w:rPr>
          <w:rFonts w:ascii="Arial" w:hAnsi="Arial" w:cs="Arial"/>
          <w:sz w:val="24"/>
        </w:rPr>
        <w:t>strales de la</w:t>
      </w:r>
      <w:r w:rsidR="00BB6582" w:rsidRPr="0098104D">
        <w:rPr>
          <w:rFonts w:ascii="Arial" w:hAnsi="Arial" w:cs="Arial"/>
          <w:sz w:val="24"/>
        </w:rPr>
        <w:t>s</w:t>
      </w:r>
      <w:r w:rsidR="00143F16" w:rsidRPr="0098104D">
        <w:rPr>
          <w:rFonts w:ascii="Arial" w:hAnsi="Arial" w:cs="Arial"/>
          <w:sz w:val="24"/>
        </w:rPr>
        <w:t xml:space="preserve"> finanzas públicas</w:t>
      </w:r>
      <w:r w:rsidRPr="0098104D">
        <w:rPr>
          <w:rFonts w:ascii="Arial" w:hAnsi="Arial" w:cs="Arial"/>
          <w:sz w:val="24"/>
        </w:rPr>
        <w:t xml:space="preserve"> un mecanismo en el que se informe sobre la aplicación y destino de los recursos objeto de la autorización a que se refiere este decreto.</w:t>
      </w:r>
    </w:p>
    <w:p w:rsidR="00143F16" w:rsidRPr="0098104D" w:rsidRDefault="00143F16" w:rsidP="00143F16">
      <w:pPr>
        <w:spacing w:before="100" w:beforeAutospacing="1" w:after="100" w:afterAutospacing="1" w:line="240" w:lineRule="auto"/>
        <w:jc w:val="center"/>
        <w:rPr>
          <w:rFonts w:ascii="Arial" w:hAnsi="Arial" w:cs="Arial"/>
          <w:b/>
          <w:sz w:val="24"/>
        </w:rPr>
      </w:pPr>
      <w:r w:rsidRPr="0098104D">
        <w:rPr>
          <w:rFonts w:ascii="Arial" w:hAnsi="Arial" w:cs="Arial"/>
          <w:b/>
          <w:sz w:val="24"/>
        </w:rPr>
        <w:t>Atentamente</w:t>
      </w:r>
    </w:p>
    <w:p w:rsidR="00143F16" w:rsidRPr="0098104D" w:rsidRDefault="00143F16" w:rsidP="00143F16">
      <w:pPr>
        <w:spacing w:before="100" w:beforeAutospacing="1" w:after="100" w:afterAutospacing="1" w:line="240" w:lineRule="auto"/>
        <w:jc w:val="center"/>
        <w:rPr>
          <w:rFonts w:ascii="Arial" w:hAnsi="Arial" w:cs="Arial"/>
          <w:b/>
          <w:sz w:val="24"/>
        </w:rPr>
      </w:pPr>
    </w:p>
    <w:p w:rsidR="00143F16" w:rsidRPr="0098104D" w:rsidRDefault="00143F16" w:rsidP="00143F16">
      <w:pPr>
        <w:spacing w:before="100" w:beforeAutospacing="1" w:after="100" w:afterAutospacing="1" w:line="240" w:lineRule="auto"/>
        <w:jc w:val="center"/>
        <w:rPr>
          <w:rFonts w:ascii="Arial" w:hAnsi="Arial" w:cs="Arial"/>
          <w:b/>
          <w:sz w:val="24"/>
        </w:rPr>
      </w:pPr>
      <w:r w:rsidRPr="0098104D">
        <w:rPr>
          <w:rFonts w:ascii="Arial" w:hAnsi="Arial" w:cs="Arial"/>
          <w:b/>
          <w:sz w:val="24"/>
        </w:rPr>
        <w:t>Lic. Mauricio Vila Dosal</w:t>
      </w:r>
      <w:r w:rsidRPr="0098104D">
        <w:rPr>
          <w:rFonts w:ascii="Arial" w:hAnsi="Arial" w:cs="Arial"/>
          <w:b/>
          <w:sz w:val="24"/>
        </w:rPr>
        <w:br/>
        <w:t>Gobernador del Estado de Yucatán</w:t>
      </w:r>
    </w:p>
    <w:p w:rsidR="00143F16" w:rsidRPr="0098104D" w:rsidRDefault="00143F16" w:rsidP="00143F16">
      <w:pPr>
        <w:spacing w:before="100" w:beforeAutospacing="1" w:after="100" w:afterAutospacing="1" w:line="240" w:lineRule="auto"/>
        <w:jc w:val="center"/>
        <w:rPr>
          <w:rFonts w:ascii="Arial" w:hAnsi="Arial" w:cs="Arial"/>
          <w:b/>
          <w:sz w:val="24"/>
        </w:rPr>
      </w:pPr>
    </w:p>
    <w:p w:rsidR="00143F16" w:rsidRDefault="00143F16" w:rsidP="00143F16">
      <w:pPr>
        <w:spacing w:before="100" w:beforeAutospacing="1" w:after="100" w:afterAutospacing="1" w:line="240" w:lineRule="auto"/>
        <w:rPr>
          <w:rFonts w:ascii="Arial" w:hAnsi="Arial" w:cs="Arial"/>
          <w:b/>
          <w:sz w:val="24"/>
        </w:rPr>
      </w:pPr>
      <w:r w:rsidRPr="0098104D">
        <w:rPr>
          <w:rFonts w:ascii="Arial" w:hAnsi="Arial" w:cs="Arial"/>
          <w:b/>
          <w:sz w:val="24"/>
        </w:rPr>
        <w:t>Abog. María Dolores Fritz Sierra</w:t>
      </w:r>
      <w:r w:rsidRPr="0098104D">
        <w:rPr>
          <w:rFonts w:ascii="Arial" w:hAnsi="Arial" w:cs="Arial"/>
          <w:b/>
          <w:sz w:val="24"/>
        </w:rPr>
        <w:br/>
        <w:t>Secretaria general de Gobierno</w:t>
      </w:r>
    </w:p>
    <w:p w:rsidR="00C9157F" w:rsidRPr="00044C7F" w:rsidRDefault="00C9157F" w:rsidP="00C9157F">
      <w:pPr>
        <w:pStyle w:val="Encabezado"/>
        <w:spacing w:before="100" w:beforeAutospacing="1" w:after="100" w:afterAutospacing="1"/>
        <w:jc w:val="both"/>
        <w:rPr>
          <w:rFonts w:ascii="Arial" w:hAnsi="Arial" w:cs="Arial"/>
          <w:b/>
          <w:sz w:val="24"/>
          <w:szCs w:val="24"/>
        </w:rPr>
      </w:pPr>
      <w:r>
        <w:rPr>
          <w:rFonts w:ascii="Arial" w:hAnsi="Arial" w:cs="Arial"/>
          <w:b/>
          <w:sz w:val="24"/>
        </w:rPr>
        <w:br w:type="column"/>
      </w:r>
      <w:r>
        <w:rPr>
          <w:rFonts w:ascii="Arial" w:hAnsi="Arial" w:cs="Arial"/>
          <w:b/>
          <w:sz w:val="24"/>
          <w:szCs w:val="24"/>
        </w:rPr>
        <w:t xml:space="preserve">Anexo único. </w:t>
      </w:r>
      <w:r w:rsidRPr="00044C7F">
        <w:rPr>
          <w:rFonts w:ascii="Arial" w:hAnsi="Arial" w:cs="Arial"/>
          <w:b/>
          <w:sz w:val="24"/>
          <w:szCs w:val="24"/>
        </w:rPr>
        <w:t xml:space="preserve">Análisis de la capacidad de pago, </w:t>
      </w:r>
      <w:r>
        <w:rPr>
          <w:rFonts w:ascii="Arial" w:hAnsi="Arial" w:cs="Arial"/>
          <w:b/>
          <w:sz w:val="24"/>
          <w:szCs w:val="24"/>
        </w:rPr>
        <w:t xml:space="preserve">del </w:t>
      </w:r>
      <w:r w:rsidRPr="00044C7F">
        <w:rPr>
          <w:rFonts w:ascii="Arial" w:hAnsi="Arial" w:cs="Arial"/>
          <w:b/>
          <w:sz w:val="24"/>
          <w:szCs w:val="24"/>
        </w:rPr>
        <w:t>otorgamiento de recursos como fuente o garantía de pago y</w:t>
      </w:r>
      <w:r>
        <w:rPr>
          <w:rFonts w:ascii="Arial" w:hAnsi="Arial" w:cs="Arial"/>
          <w:b/>
          <w:sz w:val="24"/>
          <w:szCs w:val="24"/>
        </w:rPr>
        <w:t xml:space="preserve"> del</w:t>
      </w:r>
      <w:r w:rsidRPr="00044C7F">
        <w:rPr>
          <w:rFonts w:ascii="Arial" w:hAnsi="Arial" w:cs="Arial"/>
          <w:b/>
          <w:sz w:val="24"/>
          <w:szCs w:val="24"/>
        </w:rPr>
        <w:t xml:space="preserve"> destino del financiamiento con relación al techo de endeudamiento so</w:t>
      </w:r>
      <w:r>
        <w:rPr>
          <w:rFonts w:ascii="Arial" w:hAnsi="Arial" w:cs="Arial"/>
          <w:b/>
          <w:sz w:val="24"/>
          <w:szCs w:val="24"/>
        </w:rPr>
        <w:t>licitado para el ejercicio 2019</w:t>
      </w:r>
    </w:p>
    <w:p w:rsidR="00C9157F" w:rsidRPr="00D17258" w:rsidRDefault="00C9157F" w:rsidP="00C9157F">
      <w:pPr>
        <w:spacing w:before="100" w:beforeAutospacing="1" w:after="100" w:afterAutospacing="1" w:line="274" w:lineRule="exact"/>
        <w:jc w:val="right"/>
        <w:rPr>
          <w:rFonts w:ascii="Arial" w:hAnsi="Arial" w:cs="Arial"/>
          <w:sz w:val="24"/>
          <w:szCs w:val="24"/>
        </w:rPr>
      </w:pPr>
      <w:r w:rsidRPr="00D17258">
        <w:rPr>
          <w:rFonts w:ascii="Arial" w:hAnsi="Arial" w:cs="Arial"/>
          <w:sz w:val="24"/>
          <w:szCs w:val="24"/>
        </w:rPr>
        <w:t xml:space="preserve">Mérida, Yucatán, a </w:t>
      </w:r>
      <w:r>
        <w:rPr>
          <w:rFonts w:ascii="Arial" w:hAnsi="Arial" w:cs="Arial"/>
          <w:sz w:val="24"/>
          <w:szCs w:val="24"/>
        </w:rPr>
        <w:t>1</w:t>
      </w:r>
      <w:r w:rsidRPr="00D17258">
        <w:rPr>
          <w:rFonts w:ascii="Arial" w:hAnsi="Arial" w:cs="Arial"/>
          <w:sz w:val="24"/>
          <w:szCs w:val="24"/>
        </w:rPr>
        <w:t xml:space="preserve"> de ju</w:t>
      </w:r>
      <w:r>
        <w:rPr>
          <w:rFonts w:ascii="Arial" w:hAnsi="Arial" w:cs="Arial"/>
          <w:sz w:val="24"/>
          <w:szCs w:val="24"/>
        </w:rPr>
        <w:t>l</w:t>
      </w:r>
      <w:r w:rsidRPr="00D17258">
        <w:rPr>
          <w:rFonts w:ascii="Arial" w:hAnsi="Arial" w:cs="Arial"/>
          <w:sz w:val="24"/>
          <w:szCs w:val="24"/>
        </w:rPr>
        <w:t>io de 2019.</w:t>
      </w:r>
    </w:p>
    <w:p w:rsidR="00C9157F" w:rsidRDefault="00C9157F" w:rsidP="00C9157F">
      <w:pPr>
        <w:spacing w:before="100" w:beforeAutospacing="1" w:after="100" w:afterAutospacing="1" w:line="240" w:lineRule="auto"/>
        <w:jc w:val="both"/>
        <w:rPr>
          <w:rFonts w:ascii="Arial" w:hAnsi="Arial" w:cs="Arial"/>
          <w:sz w:val="24"/>
          <w:szCs w:val="24"/>
        </w:rPr>
      </w:pPr>
      <w:r>
        <w:rPr>
          <w:rFonts w:ascii="Arial" w:hAnsi="Arial" w:cs="Arial"/>
          <w:sz w:val="24"/>
          <w:szCs w:val="24"/>
        </w:rPr>
        <w:t>De conformidad con</w:t>
      </w:r>
      <w:r w:rsidRPr="00044C7F">
        <w:rPr>
          <w:rFonts w:ascii="Arial" w:hAnsi="Arial" w:cs="Arial"/>
          <w:sz w:val="24"/>
          <w:szCs w:val="24"/>
        </w:rPr>
        <w:t xml:space="preserve"> lo establecido en el artículo 23 de la Ley de Disciplina Financiera de las Entidades Federativas y los Municipios,</w:t>
      </w:r>
      <w:r>
        <w:rPr>
          <w:rFonts w:ascii="Arial" w:hAnsi="Arial" w:cs="Arial"/>
          <w:sz w:val="24"/>
          <w:szCs w:val="24"/>
        </w:rPr>
        <w:t xml:space="preserve"> a continuación se presenta el a</w:t>
      </w:r>
      <w:r w:rsidRPr="00044C7F">
        <w:rPr>
          <w:rFonts w:ascii="Arial" w:hAnsi="Arial" w:cs="Arial"/>
          <w:sz w:val="24"/>
          <w:szCs w:val="24"/>
        </w:rPr>
        <w:t xml:space="preserve">nálisis de la capacidad de pago, del otorgamiento de recursos como </w:t>
      </w:r>
      <w:r>
        <w:rPr>
          <w:rFonts w:ascii="Arial" w:hAnsi="Arial" w:cs="Arial"/>
          <w:sz w:val="24"/>
          <w:szCs w:val="24"/>
        </w:rPr>
        <w:t>fuente o g</w:t>
      </w:r>
      <w:r w:rsidRPr="00044C7F">
        <w:rPr>
          <w:rFonts w:ascii="Arial" w:hAnsi="Arial" w:cs="Arial"/>
          <w:sz w:val="24"/>
          <w:szCs w:val="24"/>
        </w:rPr>
        <w:t>arantía de pago del financiamiento y d</w:t>
      </w:r>
      <w:r>
        <w:rPr>
          <w:rFonts w:ascii="Arial" w:hAnsi="Arial" w:cs="Arial"/>
          <w:sz w:val="24"/>
          <w:szCs w:val="24"/>
        </w:rPr>
        <w:t>el destino del f</w:t>
      </w:r>
      <w:r w:rsidRPr="00044C7F">
        <w:rPr>
          <w:rFonts w:ascii="Arial" w:hAnsi="Arial" w:cs="Arial"/>
          <w:sz w:val="24"/>
          <w:szCs w:val="24"/>
        </w:rPr>
        <w:t>inanciamiento a contratar por un monto total de hasta $2,620,000,000.00 (</w:t>
      </w:r>
      <w:r>
        <w:rPr>
          <w:rFonts w:ascii="Arial" w:hAnsi="Arial" w:cs="Arial"/>
          <w:sz w:val="24"/>
          <w:szCs w:val="24"/>
        </w:rPr>
        <w:t>d</w:t>
      </w:r>
      <w:r w:rsidRPr="00044C7F">
        <w:rPr>
          <w:rFonts w:ascii="Arial" w:hAnsi="Arial" w:cs="Arial"/>
          <w:sz w:val="24"/>
          <w:szCs w:val="24"/>
        </w:rPr>
        <w:t>os mil seiscientos veinte millones de pesos 00/100 M.N.) a un plazo de hasta 20 años.</w:t>
      </w:r>
    </w:p>
    <w:p w:rsidR="00C9157F" w:rsidRPr="00D76623" w:rsidRDefault="00C9157F" w:rsidP="00C9157F">
      <w:pPr>
        <w:spacing w:before="100" w:beforeAutospacing="1" w:after="100" w:afterAutospacing="1" w:line="240" w:lineRule="auto"/>
        <w:ind w:firstLine="709"/>
        <w:jc w:val="both"/>
        <w:rPr>
          <w:rFonts w:ascii="Arial" w:hAnsi="Arial" w:cs="Arial"/>
          <w:sz w:val="24"/>
          <w:szCs w:val="24"/>
        </w:rPr>
      </w:pPr>
      <w:r w:rsidRPr="00D76623">
        <w:rPr>
          <w:rFonts w:ascii="Arial" w:hAnsi="Arial" w:cs="Arial"/>
          <w:b/>
          <w:sz w:val="24"/>
          <w:szCs w:val="24"/>
        </w:rPr>
        <w:t>I.</w:t>
      </w:r>
      <w:r>
        <w:rPr>
          <w:rFonts w:ascii="Arial" w:hAnsi="Arial" w:cs="Arial"/>
          <w:sz w:val="24"/>
          <w:szCs w:val="24"/>
        </w:rPr>
        <w:t xml:space="preserve"> </w:t>
      </w:r>
      <w:r w:rsidRPr="00044C7F">
        <w:rPr>
          <w:rFonts w:ascii="Arial" w:hAnsi="Arial" w:cs="Arial"/>
          <w:b/>
          <w:sz w:val="24"/>
          <w:szCs w:val="24"/>
        </w:rPr>
        <w:t>Proyección de amortizaciones, pago de intereses y evolución del saldo del financiamiento durante su vigencia</w:t>
      </w:r>
      <w:r>
        <w:rPr>
          <w:rFonts w:ascii="Arial" w:hAnsi="Arial" w:cs="Arial"/>
          <w:b/>
          <w:sz w:val="24"/>
          <w:szCs w:val="24"/>
        </w:rPr>
        <w:t>.</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Pr>
          <w:rFonts w:ascii="Arial" w:hAnsi="Arial" w:cs="Arial"/>
          <w:sz w:val="24"/>
          <w:szCs w:val="24"/>
        </w:rPr>
        <w:t>Para efectos del presente a</w:t>
      </w:r>
      <w:r w:rsidRPr="00044C7F">
        <w:rPr>
          <w:rFonts w:ascii="Arial" w:hAnsi="Arial" w:cs="Arial"/>
          <w:sz w:val="24"/>
          <w:szCs w:val="24"/>
        </w:rPr>
        <w:t xml:space="preserve">nálisis de la </w:t>
      </w:r>
      <w:r>
        <w:rPr>
          <w:rFonts w:ascii="Arial" w:hAnsi="Arial" w:cs="Arial"/>
          <w:sz w:val="24"/>
          <w:szCs w:val="24"/>
        </w:rPr>
        <w:t>c</w:t>
      </w:r>
      <w:r w:rsidRPr="00044C7F">
        <w:rPr>
          <w:rFonts w:ascii="Arial" w:hAnsi="Arial" w:cs="Arial"/>
          <w:sz w:val="24"/>
          <w:szCs w:val="24"/>
        </w:rPr>
        <w:t xml:space="preserve">apacidad de </w:t>
      </w:r>
      <w:r>
        <w:rPr>
          <w:rFonts w:ascii="Arial" w:hAnsi="Arial" w:cs="Arial"/>
          <w:sz w:val="24"/>
          <w:szCs w:val="24"/>
        </w:rPr>
        <w:t>p</w:t>
      </w:r>
      <w:r w:rsidRPr="00044C7F">
        <w:rPr>
          <w:rFonts w:ascii="Arial" w:hAnsi="Arial" w:cs="Arial"/>
          <w:sz w:val="24"/>
          <w:szCs w:val="24"/>
        </w:rPr>
        <w:t xml:space="preserve">ago se considera una tasa de interés de TIIE + 0.6% comparable con el costo de financiamiento al que podría acceder el </w:t>
      </w:r>
      <w:r>
        <w:rPr>
          <w:rFonts w:ascii="Arial" w:hAnsi="Arial" w:cs="Arial"/>
          <w:sz w:val="24"/>
          <w:szCs w:val="24"/>
        </w:rPr>
        <w:t>e</w:t>
      </w:r>
      <w:r w:rsidRPr="00044C7F">
        <w:rPr>
          <w:rFonts w:ascii="Arial" w:hAnsi="Arial" w:cs="Arial"/>
          <w:sz w:val="24"/>
          <w:szCs w:val="24"/>
        </w:rPr>
        <w:t>stado durante la vigencia del crédito. La tasa de interés para el primer periodo se estima en 9.077% (TIIE 8.477% + 0.6%) utilizando como referencia la curva TIIE MEXDER al 21 de junio de 2019.</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 xml:space="preserve">Cabe señalar que el calendario de amortizaciones definitivo será el que resulte de las condiciones del o los financiamientos que suscriba el </w:t>
      </w:r>
      <w:r>
        <w:rPr>
          <w:rFonts w:ascii="Arial" w:hAnsi="Arial" w:cs="Arial"/>
          <w:sz w:val="24"/>
          <w:szCs w:val="24"/>
        </w:rPr>
        <w:t>e</w:t>
      </w:r>
      <w:r w:rsidRPr="00044C7F">
        <w:rPr>
          <w:rFonts w:ascii="Arial" w:hAnsi="Arial" w:cs="Arial"/>
          <w:sz w:val="24"/>
          <w:szCs w:val="24"/>
        </w:rPr>
        <w:t>stado una vez realizada la licitación pública correspondiente.</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La estructura de los pagos del financiamiento a contratar sería la siguiente:</w:t>
      </w: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Default="00C9157F" w:rsidP="00C9157F">
      <w:pPr>
        <w:spacing w:before="100" w:beforeAutospacing="1" w:after="100" w:afterAutospacing="1" w:line="240" w:lineRule="auto"/>
        <w:jc w:val="center"/>
        <w:rPr>
          <w:rFonts w:ascii="Arial" w:hAnsi="Arial" w:cs="Arial"/>
          <w:b/>
          <w:sz w:val="24"/>
          <w:szCs w:val="24"/>
        </w:rPr>
      </w:pPr>
    </w:p>
    <w:p w:rsidR="00C9157F" w:rsidRPr="00044C7F" w:rsidRDefault="00C9157F" w:rsidP="00C9157F">
      <w:pPr>
        <w:spacing w:before="100" w:beforeAutospacing="1" w:after="100" w:afterAutospacing="1" w:line="240" w:lineRule="auto"/>
        <w:jc w:val="center"/>
        <w:rPr>
          <w:rFonts w:ascii="Arial" w:hAnsi="Arial" w:cs="Arial"/>
          <w:b/>
          <w:sz w:val="24"/>
          <w:szCs w:val="24"/>
        </w:rPr>
      </w:pPr>
      <w:r w:rsidRPr="00044C7F">
        <w:rPr>
          <w:rFonts w:ascii="Arial" w:hAnsi="Arial" w:cs="Arial"/>
          <w:b/>
          <w:sz w:val="24"/>
          <w:szCs w:val="24"/>
        </w:rPr>
        <w:t>Tabla 1. Proyección de pago del nuevo financiamiento</w:t>
      </w:r>
    </w:p>
    <w:p w:rsidR="00C9157F" w:rsidRPr="00044C7F" w:rsidRDefault="00C9157F" w:rsidP="00C9157F">
      <w:pPr>
        <w:spacing w:before="100" w:beforeAutospacing="1" w:after="100" w:afterAutospacing="1" w:line="240" w:lineRule="auto"/>
        <w:jc w:val="center"/>
        <w:rPr>
          <w:rFonts w:ascii="Arial" w:hAnsi="Arial" w:cs="Arial"/>
          <w:b/>
          <w:bCs/>
          <w:sz w:val="24"/>
          <w:szCs w:val="24"/>
        </w:rPr>
      </w:pPr>
      <w:r w:rsidRPr="00044C7F">
        <w:rPr>
          <w:rFonts w:ascii="Arial" w:hAnsi="Arial" w:cs="Arial"/>
          <w:b/>
          <w:bCs/>
          <w:noProof/>
          <w:sz w:val="24"/>
          <w:szCs w:val="24"/>
          <w:lang w:eastAsia="es-MX"/>
        </w:rPr>
        <w:drawing>
          <wp:inline distT="0" distB="0" distL="0" distR="0" wp14:anchorId="7860F81C" wp14:editId="3B1B4175">
            <wp:extent cx="3568148" cy="3251128"/>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3568148" cy="3251128"/>
                    </a:xfrm>
                    <a:prstGeom prst="rect">
                      <a:avLst/>
                    </a:prstGeom>
                    <a:noFill/>
                    <a:ln>
                      <a:noFill/>
                    </a:ln>
                  </pic:spPr>
                </pic:pic>
              </a:graphicData>
            </a:graphic>
          </wp:inline>
        </w:drawing>
      </w:r>
    </w:p>
    <w:p w:rsidR="00C9157F" w:rsidRPr="00044C7F" w:rsidRDefault="00C9157F" w:rsidP="00C9157F">
      <w:pPr>
        <w:pStyle w:val="Prrafodelista"/>
        <w:autoSpaceDE w:val="0"/>
        <w:autoSpaceDN w:val="0"/>
        <w:adjustRightInd w:val="0"/>
        <w:spacing w:before="100" w:beforeAutospacing="1" w:after="100" w:afterAutospacing="1" w:line="240" w:lineRule="auto"/>
        <w:ind w:left="0" w:firstLine="709"/>
        <w:jc w:val="both"/>
        <w:rPr>
          <w:rFonts w:ascii="Arial" w:hAnsi="Arial" w:cs="Arial"/>
          <w:b/>
          <w:sz w:val="24"/>
          <w:szCs w:val="24"/>
        </w:rPr>
      </w:pPr>
      <w:r>
        <w:rPr>
          <w:rFonts w:ascii="Arial" w:hAnsi="Arial" w:cs="Arial"/>
          <w:b/>
          <w:sz w:val="24"/>
          <w:szCs w:val="24"/>
        </w:rPr>
        <w:t xml:space="preserve">II. </w:t>
      </w:r>
      <w:r w:rsidRPr="00044C7F">
        <w:rPr>
          <w:rFonts w:ascii="Arial" w:hAnsi="Arial" w:cs="Arial"/>
          <w:b/>
          <w:sz w:val="24"/>
          <w:szCs w:val="24"/>
        </w:rPr>
        <w:t xml:space="preserve">Proyección del impacto presupuestal sobre </w:t>
      </w:r>
      <w:r>
        <w:rPr>
          <w:rFonts w:ascii="Arial" w:hAnsi="Arial" w:cs="Arial"/>
          <w:b/>
          <w:sz w:val="24"/>
          <w:szCs w:val="24"/>
        </w:rPr>
        <w:t>las partidas 9111 y 9211 de la d</w:t>
      </w:r>
      <w:r w:rsidRPr="00044C7F">
        <w:rPr>
          <w:rFonts w:ascii="Arial" w:hAnsi="Arial" w:cs="Arial"/>
          <w:b/>
          <w:sz w:val="24"/>
          <w:szCs w:val="24"/>
        </w:rPr>
        <w:t xml:space="preserve">euda </w:t>
      </w:r>
      <w:r>
        <w:rPr>
          <w:rFonts w:ascii="Arial" w:hAnsi="Arial" w:cs="Arial"/>
          <w:b/>
          <w:sz w:val="24"/>
          <w:szCs w:val="24"/>
        </w:rPr>
        <w:t>interna con i</w:t>
      </w:r>
      <w:r w:rsidRPr="00044C7F">
        <w:rPr>
          <w:rFonts w:ascii="Arial" w:hAnsi="Arial" w:cs="Arial"/>
          <w:b/>
          <w:sz w:val="24"/>
          <w:szCs w:val="24"/>
        </w:rPr>
        <w:t>nstituciones de crédito</w:t>
      </w:r>
      <w:r>
        <w:rPr>
          <w:rFonts w:ascii="Arial" w:hAnsi="Arial" w:cs="Arial"/>
          <w:b/>
          <w:sz w:val="24"/>
          <w:szCs w:val="24"/>
        </w:rPr>
        <w:t>.</w:t>
      </w:r>
    </w:p>
    <w:p w:rsidR="00C915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Con base en la proyección de amortizaciones, pagos de intereses y evolución del saldo del financiamiento durante su periodo de vigencia, a continuación se presenta la proyección del impacto presupuestal del servicio de la deuda del financiam</w:t>
      </w:r>
      <w:r>
        <w:rPr>
          <w:rFonts w:ascii="Arial" w:hAnsi="Arial" w:cs="Arial"/>
          <w:sz w:val="24"/>
          <w:szCs w:val="24"/>
        </w:rPr>
        <w:t>iento sobre las partidas 9111 (A</w:t>
      </w:r>
      <w:r w:rsidRPr="00044C7F">
        <w:rPr>
          <w:rFonts w:ascii="Arial" w:hAnsi="Arial" w:cs="Arial"/>
          <w:sz w:val="24"/>
          <w:szCs w:val="24"/>
        </w:rPr>
        <w:t>mortización de la Deuda Interna con Instituciones de Crédito) y 9211 (Intereses de la Deuda Interna con Instituciones de Crédito), las cuales se destinarían anualmente para el pago y servicio de las obligaciones de deuda pública, hasta por el monto autorizado a contratar.</w:t>
      </w:r>
    </w:p>
    <w:p w:rsidR="00C9157F" w:rsidRDefault="00C9157F" w:rsidP="00C9157F">
      <w:pPr>
        <w:spacing w:before="100" w:beforeAutospacing="1" w:after="100" w:afterAutospacing="1" w:line="240" w:lineRule="auto"/>
        <w:ind w:firstLine="709"/>
        <w:jc w:val="both"/>
        <w:rPr>
          <w:rFonts w:ascii="Arial" w:hAnsi="Arial" w:cs="Arial"/>
          <w:sz w:val="24"/>
          <w:szCs w:val="24"/>
        </w:rPr>
      </w:pPr>
    </w:p>
    <w:p w:rsidR="00C9157F" w:rsidRDefault="00C9157F" w:rsidP="00C9157F">
      <w:pPr>
        <w:spacing w:before="100" w:beforeAutospacing="1" w:after="100" w:afterAutospacing="1" w:line="240" w:lineRule="auto"/>
        <w:ind w:firstLine="709"/>
        <w:jc w:val="both"/>
        <w:rPr>
          <w:rFonts w:ascii="Arial" w:hAnsi="Arial" w:cs="Arial"/>
          <w:sz w:val="24"/>
          <w:szCs w:val="24"/>
        </w:rPr>
      </w:pPr>
    </w:p>
    <w:p w:rsidR="00C9157F" w:rsidRDefault="00C9157F" w:rsidP="00C9157F">
      <w:pPr>
        <w:spacing w:before="100" w:beforeAutospacing="1" w:after="100" w:afterAutospacing="1" w:line="240" w:lineRule="auto"/>
        <w:ind w:firstLine="709"/>
        <w:jc w:val="both"/>
        <w:rPr>
          <w:rFonts w:ascii="Arial" w:hAnsi="Arial" w:cs="Arial"/>
          <w:sz w:val="24"/>
          <w:szCs w:val="24"/>
        </w:rPr>
      </w:pPr>
    </w:p>
    <w:p w:rsidR="00C9157F" w:rsidRDefault="00C9157F" w:rsidP="00C9157F">
      <w:pPr>
        <w:spacing w:before="100" w:beforeAutospacing="1" w:after="100" w:afterAutospacing="1" w:line="240" w:lineRule="auto"/>
        <w:ind w:firstLine="709"/>
        <w:jc w:val="both"/>
        <w:rPr>
          <w:rFonts w:ascii="Arial" w:hAnsi="Arial" w:cs="Arial"/>
          <w:sz w:val="24"/>
          <w:szCs w:val="24"/>
        </w:rPr>
      </w:pPr>
    </w:p>
    <w:p w:rsidR="00C9157F" w:rsidRDefault="00C9157F" w:rsidP="00C9157F">
      <w:pPr>
        <w:spacing w:before="100" w:beforeAutospacing="1" w:after="100" w:afterAutospacing="1" w:line="240" w:lineRule="auto"/>
        <w:ind w:firstLine="709"/>
        <w:jc w:val="both"/>
        <w:rPr>
          <w:rFonts w:ascii="Arial" w:hAnsi="Arial" w:cs="Arial"/>
          <w:sz w:val="24"/>
          <w:szCs w:val="24"/>
        </w:rPr>
      </w:pPr>
    </w:p>
    <w:p w:rsidR="00C9157F" w:rsidRPr="00044C7F" w:rsidRDefault="00C9157F" w:rsidP="00C9157F">
      <w:pPr>
        <w:spacing w:before="100" w:beforeAutospacing="1" w:after="100" w:afterAutospacing="1" w:line="240" w:lineRule="auto"/>
        <w:ind w:firstLine="709"/>
        <w:jc w:val="center"/>
        <w:rPr>
          <w:rFonts w:ascii="Arial" w:hAnsi="Arial" w:cs="Arial"/>
          <w:sz w:val="24"/>
          <w:szCs w:val="24"/>
        </w:rPr>
      </w:pPr>
      <w:r w:rsidRPr="00044C7F">
        <w:rPr>
          <w:rFonts w:ascii="Arial" w:hAnsi="Arial" w:cs="Arial"/>
          <w:b/>
          <w:sz w:val="24"/>
          <w:szCs w:val="24"/>
        </w:rPr>
        <w:t>Tabla 2. Proyección del servicio de la deuda y evolución del saldo considerando el nuevo financiamiento</w:t>
      </w:r>
    </w:p>
    <w:p w:rsidR="00C9157F" w:rsidRDefault="00C9157F" w:rsidP="00C9157F">
      <w:pPr>
        <w:spacing w:before="100" w:beforeAutospacing="1" w:after="100" w:afterAutospacing="1" w:line="240" w:lineRule="auto"/>
        <w:jc w:val="center"/>
        <w:rPr>
          <w:rFonts w:ascii="Arial" w:hAnsi="Arial" w:cs="Arial"/>
          <w:b/>
          <w:sz w:val="24"/>
          <w:szCs w:val="24"/>
        </w:rPr>
      </w:pPr>
      <w:r w:rsidRPr="00044C7F">
        <w:rPr>
          <w:rFonts w:ascii="Arial" w:hAnsi="Arial" w:cs="Arial"/>
          <w:b/>
          <w:noProof/>
          <w:sz w:val="24"/>
          <w:szCs w:val="24"/>
          <w:lang w:eastAsia="es-MX"/>
        </w:rPr>
        <w:drawing>
          <wp:inline distT="0" distB="0" distL="0" distR="0" wp14:anchorId="1FAB05F0" wp14:editId="7F0F9942">
            <wp:extent cx="2713355" cy="461391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2713355" cy="4613910"/>
                    </a:xfrm>
                    <a:prstGeom prst="rect">
                      <a:avLst/>
                    </a:prstGeom>
                    <a:noFill/>
                    <a:ln>
                      <a:noFill/>
                    </a:ln>
                  </pic:spPr>
                </pic:pic>
              </a:graphicData>
            </a:graphic>
          </wp:inline>
        </w:drawing>
      </w:r>
    </w:p>
    <w:p w:rsidR="00C9157F" w:rsidRPr="00044C7F" w:rsidRDefault="00C9157F" w:rsidP="00C9157F">
      <w:pPr>
        <w:pStyle w:val="Prrafodelista"/>
        <w:autoSpaceDE w:val="0"/>
        <w:autoSpaceDN w:val="0"/>
        <w:adjustRightInd w:val="0"/>
        <w:spacing w:before="100" w:beforeAutospacing="1" w:after="100" w:afterAutospacing="1" w:line="240" w:lineRule="auto"/>
        <w:ind w:left="0" w:firstLine="709"/>
        <w:jc w:val="both"/>
        <w:rPr>
          <w:rFonts w:ascii="Arial" w:hAnsi="Arial" w:cs="Arial"/>
          <w:b/>
          <w:sz w:val="24"/>
          <w:szCs w:val="24"/>
        </w:rPr>
      </w:pPr>
      <w:r>
        <w:rPr>
          <w:rFonts w:ascii="Arial" w:hAnsi="Arial" w:cs="Arial"/>
          <w:b/>
          <w:sz w:val="24"/>
          <w:szCs w:val="24"/>
        </w:rPr>
        <w:t xml:space="preserve">III. </w:t>
      </w:r>
      <w:r w:rsidRPr="00044C7F">
        <w:rPr>
          <w:rFonts w:ascii="Arial" w:hAnsi="Arial" w:cs="Arial"/>
          <w:b/>
          <w:sz w:val="24"/>
          <w:szCs w:val="24"/>
        </w:rPr>
        <w:t>Fortaleza de las finanzas pú</w:t>
      </w:r>
      <w:r>
        <w:rPr>
          <w:rFonts w:ascii="Arial" w:hAnsi="Arial" w:cs="Arial"/>
          <w:b/>
          <w:sz w:val="24"/>
          <w:szCs w:val="24"/>
        </w:rPr>
        <w:t>blicas y capacidad de pago del E</w:t>
      </w:r>
      <w:r w:rsidRPr="00044C7F">
        <w:rPr>
          <w:rFonts w:ascii="Arial" w:hAnsi="Arial" w:cs="Arial"/>
          <w:b/>
          <w:sz w:val="24"/>
          <w:szCs w:val="24"/>
        </w:rPr>
        <w:t xml:space="preserve">stado de acuerdo </w:t>
      </w:r>
      <w:r>
        <w:rPr>
          <w:rFonts w:ascii="Arial" w:hAnsi="Arial" w:cs="Arial"/>
          <w:b/>
          <w:sz w:val="24"/>
          <w:szCs w:val="24"/>
        </w:rPr>
        <w:t>con</w:t>
      </w:r>
      <w:r w:rsidRPr="00044C7F">
        <w:rPr>
          <w:rFonts w:ascii="Arial" w:hAnsi="Arial" w:cs="Arial"/>
          <w:b/>
          <w:sz w:val="24"/>
          <w:szCs w:val="24"/>
        </w:rPr>
        <w:t xml:space="preserve"> las agencias de calificación crediticia Fitch México, S.A. de C.V. y HR Ratings de México, S.A. de C.V.</w:t>
      </w:r>
    </w:p>
    <w:p w:rsidR="00C9157F" w:rsidRPr="00044C7F" w:rsidRDefault="00C9157F" w:rsidP="00C9157F">
      <w:pPr>
        <w:autoSpaceDE w:val="0"/>
        <w:autoSpaceDN w:val="0"/>
        <w:adjustRightInd w:val="0"/>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Como parte del análisis de la capacidad de pago se toman en consideración los resultados de los reportes púb</w:t>
      </w:r>
      <w:r>
        <w:rPr>
          <w:rFonts w:ascii="Arial" w:hAnsi="Arial" w:cs="Arial"/>
          <w:sz w:val="24"/>
          <w:szCs w:val="24"/>
        </w:rPr>
        <w:t>l</w:t>
      </w:r>
      <w:r w:rsidRPr="00044C7F">
        <w:rPr>
          <w:rFonts w:ascii="Arial" w:hAnsi="Arial" w:cs="Arial"/>
          <w:sz w:val="24"/>
          <w:szCs w:val="24"/>
        </w:rPr>
        <w:t xml:space="preserve">icos </w:t>
      </w:r>
      <w:r>
        <w:rPr>
          <w:rFonts w:ascii="Arial" w:hAnsi="Arial" w:cs="Arial"/>
          <w:sz w:val="24"/>
          <w:szCs w:val="24"/>
        </w:rPr>
        <w:t>de calificación crediticia del e</w:t>
      </w:r>
      <w:r w:rsidRPr="00044C7F">
        <w:rPr>
          <w:rFonts w:ascii="Arial" w:hAnsi="Arial" w:cs="Arial"/>
          <w:sz w:val="24"/>
          <w:szCs w:val="24"/>
        </w:rPr>
        <w:t>stado de Yucatán emitidos por las agencias calificadoras: Fitch México S.A. de C.V. y HR Ratings de México S.A. de C.V. que registraron las calificaciones A+ y AA- respectivamente</w:t>
      </w:r>
      <w:r>
        <w:rPr>
          <w:rFonts w:ascii="Arial" w:hAnsi="Arial" w:cs="Arial"/>
          <w:sz w:val="24"/>
          <w:szCs w:val="24"/>
        </w:rPr>
        <w:t>.</w:t>
      </w:r>
    </w:p>
    <w:p w:rsidR="00C9157F" w:rsidRPr="00044C7F" w:rsidRDefault="00C9157F" w:rsidP="00C9157F">
      <w:pPr>
        <w:autoSpaceDE w:val="0"/>
        <w:autoSpaceDN w:val="0"/>
        <w:adjustRightInd w:val="0"/>
        <w:spacing w:before="100" w:beforeAutospacing="1" w:after="100" w:afterAutospacing="1" w:line="240" w:lineRule="auto"/>
        <w:rPr>
          <w:rFonts w:ascii="Arial" w:hAnsi="Arial" w:cs="Arial"/>
          <w:b/>
          <w:sz w:val="24"/>
          <w:szCs w:val="24"/>
        </w:rPr>
      </w:pPr>
      <w:r w:rsidRPr="00044C7F">
        <w:rPr>
          <w:rFonts w:ascii="Arial" w:hAnsi="Arial" w:cs="Arial"/>
          <w:b/>
          <w:sz w:val="24"/>
          <w:szCs w:val="24"/>
        </w:rPr>
        <w:t>Calificación crediticia de Fitch México, S.A. de C.V.</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En el comunicado publicado el 1 de abril del presente año, se ratificó la calificación de la calidad creditic</w:t>
      </w:r>
      <w:r>
        <w:rPr>
          <w:rFonts w:ascii="Arial" w:hAnsi="Arial" w:cs="Arial"/>
          <w:sz w:val="24"/>
          <w:szCs w:val="24"/>
        </w:rPr>
        <w:t>ia del estado en 'A+(mex)', la p</w:t>
      </w:r>
      <w:r w:rsidRPr="00044C7F">
        <w:rPr>
          <w:rFonts w:ascii="Arial" w:hAnsi="Arial" w:cs="Arial"/>
          <w:sz w:val="24"/>
          <w:szCs w:val="24"/>
        </w:rPr>
        <w:t xml:space="preserve">erspectiva crediticia se mantiene </w:t>
      </w:r>
      <w:r>
        <w:rPr>
          <w:rFonts w:ascii="Arial" w:hAnsi="Arial" w:cs="Arial"/>
          <w:sz w:val="24"/>
          <w:szCs w:val="24"/>
        </w:rPr>
        <w:t>e</w:t>
      </w:r>
      <w:r w:rsidRPr="00044C7F">
        <w:rPr>
          <w:rFonts w:ascii="Arial" w:hAnsi="Arial" w:cs="Arial"/>
          <w:sz w:val="24"/>
          <w:szCs w:val="24"/>
        </w:rPr>
        <w:t>stable</w:t>
      </w:r>
      <w:r>
        <w:rPr>
          <w:rFonts w:ascii="Arial" w:hAnsi="Arial" w:cs="Arial"/>
          <w:sz w:val="24"/>
          <w:szCs w:val="24"/>
        </w:rPr>
        <w:t>. D</w:t>
      </w:r>
      <w:r w:rsidRPr="00044C7F">
        <w:rPr>
          <w:rFonts w:ascii="Arial" w:hAnsi="Arial" w:cs="Arial"/>
          <w:sz w:val="24"/>
          <w:szCs w:val="24"/>
        </w:rPr>
        <w:t>e este documento es relevante destacar la siguiente información:</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Deuda y o</w:t>
      </w:r>
      <w:r w:rsidRPr="00044C7F">
        <w:rPr>
          <w:rFonts w:ascii="Arial" w:hAnsi="Arial" w:cs="Arial"/>
          <w:sz w:val="24"/>
          <w:szCs w:val="24"/>
        </w:rPr>
        <w:t xml:space="preserve">tros </w:t>
      </w:r>
      <w:r>
        <w:rPr>
          <w:rFonts w:ascii="Arial" w:hAnsi="Arial" w:cs="Arial"/>
          <w:sz w:val="24"/>
          <w:szCs w:val="24"/>
        </w:rPr>
        <w:t>p</w:t>
      </w:r>
      <w:r w:rsidRPr="00044C7F">
        <w:rPr>
          <w:rFonts w:ascii="Arial" w:hAnsi="Arial" w:cs="Arial"/>
          <w:sz w:val="24"/>
          <w:szCs w:val="24"/>
        </w:rPr>
        <w:t xml:space="preserve">asivos de </w:t>
      </w:r>
      <w:r>
        <w:rPr>
          <w:rFonts w:ascii="Arial" w:hAnsi="Arial" w:cs="Arial"/>
          <w:sz w:val="24"/>
          <w:szCs w:val="24"/>
        </w:rPr>
        <w:t>l</w:t>
      </w:r>
      <w:r w:rsidRPr="00044C7F">
        <w:rPr>
          <w:rFonts w:ascii="Arial" w:hAnsi="Arial" w:cs="Arial"/>
          <w:sz w:val="24"/>
          <w:szCs w:val="24"/>
        </w:rPr>
        <w:t xml:space="preserve">argo </w:t>
      </w:r>
      <w:r>
        <w:rPr>
          <w:rFonts w:ascii="Arial" w:hAnsi="Arial" w:cs="Arial"/>
          <w:sz w:val="24"/>
          <w:szCs w:val="24"/>
        </w:rPr>
        <w:t>p</w:t>
      </w:r>
      <w:r w:rsidRPr="00044C7F">
        <w:rPr>
          <w:rFonts w:ascii="Arial" w:hAnsi="Arial" w:cs="Arial"/>
          <w:sz w:val="24"/>
          <w:szCs w:val="24"/>
        </w:rPr>
        <w:t xml:space="preserve">lazo, </w:t>
      </w:r>
      <w:r>
        <w:rPr>
          <w:rFonts w:ascii="Arial" w:hAnsi="Arial" w:cs="Arial"/>
          <w:sz w:val="24"/>
          <w:szCs w:val="24"/>
        </w:rPr>
        <w:t>f</w:t>
      </w:r>
      <w:r w:rsidRPr="00044C7F">
        <w:rPr>
          <w:rFonts w:ascii="Arial" w:hAnsi="Arial" w:cs="Arial"/>
          <w:sz w:val="24"/>
          <w:szCs w:val="24"/>
        </w:rPr>
        <w:t xml:space="preserve">uerte - </w:t>
      </w:r>
      <w:r>
        <w:rPr>
          <w:rFonts w:ascii="Arial" w:hAnsi="Arial" w:cs="Arial"/>
          <w:sz w:val="24"/>
          <w:szCs w:val="24"/>
        </w:rPr>
        <w:t>e</w:t>
      </w:r>
      <w:r w:rsidRPr="00044C7F">
        <w:rPr>
          <w:rFonts w:ascii="Arial" w:hAnsi="Arial" w:cs="Arial"/>
          <w:sz w:val="24"/>
          <w:szCs w:val="24"/>
        </w:rPr>
        <w:t>stable:</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Fitch estima qu</w:t>
      </w:r>
      <w:r>
        <w:rPr>
          <w:rFonts w:ascii="Arial" w:hAnsi="Arial" w:cs="Arial"/>
          <w:sz w:val="24"/>
          <w:szCs w:val="24"/>
        </w:rPr>
        <w:t>e el endeudamiento directo del e</w:t>
      </w:r>
      <w:r w:rsidRPr="00044C7F">
        <w:rPr>
          <w:rFonts w:ascii="Arial" w:hAnsi="Arial" w:cs="Arial"/>
          <w:sz w:val="24"/>
          <w:szCs w:val="24"/>
        </w:rPr>
        <w:t>stado se mantenga en niveles bajos a lo largo del 2019. Al cierre de 2018, la DDLP registró MXN3,621.4 millones compuesta por cuatro créditos de largo plazo. El saldo de la DDLP representó 0.23 veces (x) los ingresos fiscales ordinarios (IFOs; ingresos de libre disposición).</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Además, Yucatán cuenta con obligacione</w:t>
      </w:r>
      <w:r>
        <w:rPr>
          <w:rFonts w:ascii="Arial" w:hAnsi="Arial" w:cs="Arial"/>
          <w:sz w:val="24"/>
          <w:szCs w:val="24"/>
        </w:rPr>
        <w:t>s multianuales derivadas de un proyecto de p</w:t>
      </w:r>
      <w:r w:rsidRPr="00044C7F">
        <w:rPr>
          <w:rFonts w:ascii="Arial" w:hAnsi="Arial" w:cs="Arial"/>
          <w:sz w:val="24"/>
          <w:szCs w:val="24"/>
        </w:rPr>
        <w:t xml:space="preserve">restación de </w:t>
      </w:r>
      <w:r>
        <w:rPr>
          <w:rFonts w:ascii="Arial" w:hAnsi="Arial" w:cs="Arial"/>
          <w:sz w:val="24"/>
          <w:szCs w:val="24"/>
        </w:rPr>
        <w:t>s</w:t>
      </w:r>
      <w:r w:rsidRPr="00044C7F">
        <w:rPr>
          <w:rFonts w:ascii="Arial" w:hAnsi="Arial" w:cs="Arial"/>
          <w:sz w:val="24"/>
          <w:szCs w:val="24"/>
        </w:rPr>
        <w:t xml:space="preserve">ervicios </w:t>
      </w:r>
      <w:r>
        <w:rPr>
          <w:rFonts w:ascii="Arial" w:hAnsi="Arial" w:cs="Arial"/>
          <w:sz w:val="24"/>
          <w:szCs w:val="24"/>
        </w:rPr>
        <w:t>(PPS) en relación con el</w:t>
      </w:r>
      <w:r w:rsidRPr="00044C7F">
        <w:rPr>
          <w:rFonts w:ascii="Arial" w:hAnsi="Arial" w:cs="Arial"/>
          <w:sz w:val="24"/>
          <w:szCs w:val="24"/>
        </w:rPr>
        <w:t xml:space="preserve"> Gran Museo Maya. La agencia incorpora este tipo</w:t>
      </w:r>
      <w:r>
        <w:rPr>
          <w:rFonts w:ascii="Arial" w:hAnsi="Arial" w:cs="Arial"/>
          <w:sz w:val="24"/>
          <w:szCs w:val="24"/>
        </w:rPr>
        <w:t xml:space="preserve"> de proyectos como o</w:t>
      </w:r>
      <w:r w:rsidRPr="00044C7F">
        <w:rPr>
          <w:rFonts w:ascii="Arial" w:hAnsi="Arial" w:cs="Arial"/>
          <w:sz w:val="24"/>
          <w:szCs w:val="24"/>
        </w:rPr>
        <w:t xml:space="preserve">tras </w:t>
      </w:r>
      <w:r>
        <w:rPr>
          <w:rFonts w:ascii="Arial" w:hAnsi="Arial" w:cs="Arial"/>
          <w:sz w:val="24"/>
          <w:szCs w:val="24"/>
        </w:rPr>
        <w:t>d</w:t>
      </w:r>
      <w:r w:rsidRPr="00044C7F">
        <w:rPr>
          <w:rFonts w:ascii="Arial" w:hAnsi="Arial" w:cs="Arial"/>
          <w:sz w:val="24"/>
          <w:szCs w:val="24"/>
        </w:rPr>
        <w:t>eudas consideradas por Fitch (ODFs). La calificadora estima que, considerando al PPS, el nivel de endeudamiento asciende a 0.27x los IFOs, lo cual se mantiene dentro de un rango bajo.</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El </w:t>
      </w:r>
      <w:r>
        <w:rPr>
          <w:rFonts w:ascii="Arial" w:hAnsi="Arial" w:cs="Arial"/>
          <w:sz w:val="24"/>
          <w:szCs w:val="24"/>
        </w:rPr>
        <w:t>e</w:t>
      </w:r>
      <w:r w:rsidRPr="00044C7F">
        <w:rPr>
          <w:rFonts w:ascii="Arial" w:hAnsi="Arial" w:cs="Arial"/>
          <w:sz w:val="24"/>
          <w:szCs w:val="24"/>
        </w:rPr>
        <w:t>stado también cuenta con un financiamiento con Banobras bajo el esquema de bonos cupón cero (BCC) que totaliza MXN307 millones. Cabe mencionar que este tipo de instrumento tiene la característica de que el capital se cubre por la federación y el pago de intereses por parte de la entidad acreditada. Dado esto, la agencia no incorpora su saldo en la métrica de endeudamiento, no obstante, s</w:t>
      </w:r>
      <w:r>
        <w:rPr>
          <w:rFonts w:ascii="Arial" w:hAnsi="Arial" w:cs="Arial"/>
          <w:sz w:val="24"/>
          <w:szCs w:val="24"/>
        </w:rPr>
        <w:t>í</w:t>
      </w:r>
      <w:r w:rsidRPr="00044C7F">
        <w:rPr>
          <w:rFonts w:ascii="Arial" w:hAnsi="Arial" w:cs="Arial"/>
          <w:sz w:val="24"/>
          <w:szCs w:val="24"/>
        </w:rPr>
        <w:t xml:space="preserve"> se considera en la sostenibilidad de la deuda. Para 2018, el servicio de la deuda (capital e intereses) representó 2.9% de los ingresos disponibles y 35.5% del AI.</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Anteriormente la administración hacia uso recurrente de cadenas productivas y créditos a corto plazo, los cuales se dejaron de utilizar en 2018. Actualmente la administración no tiene planes definidos de endeudamiento.</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En cuanto a la posición de liquidez del </w:t>
      </w:r>
      <w:r>
        <w:rPr>
          <w:rFonts w:ascii="Arial" w:hAnsi="Arial" w:cs="Arial"/>
          <w:sz w:val="24"/>
          <w:szCs w:val="24"/>
        </w:rPr>
        <w:t>e</w:t>
      </w:r>
      <w:r w:rsidRPr="00044C7F">
        <w:rPr>
          <w:rFonts w:ascii="Arial" w:hAnsi="Arial" w:cs="Arial"/>
          <w:sz w:val="24"/>
          <w:szCs w:val="24"/>
        </w:rPr>
        <w:t>stado, esta es considerada como adecuada. A finales de 2018, el pasivo circulante sumó MXN1,019 millones, lo cual equivale a 10 días de gasto primario; compara de manera favorable con la mediana del GEF el cual reporta una mediana de 42 días. En cuanto al nivel de caja disponible, se registró MXN510.1 millones, equivalente a 0.50x el pasivo circulante.</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En lo que concierne a la seguridad social, la agencia opina que el </w:t>
      </w:r>
      <w:r>
        <w:rPr>
          <w:rFonts w:ascii="Arial" w:hAnsi="Arial" w:cs="Arial"/>
          <w:sz w:val="24"/>
          <w:szCs w:val="24"/>
        </w:rPr>
        <w:t>e</w:t>
      </w:r>
      <w:r w:rsidRPr="00044C7F">
        <w:rPr>
          <w:rFonts w:ascii="Arial" w:hAnsi="Arial" w:cs="Arial"/>
          <w:sz w:val="24"/>
          <w:szCs w:val="24"/>
        </w:rPr>
        <w:t>stado no representa una contingencia en el corto plazo. El pago de pensiones se maneja a través de un esquema mixto que realiza el pago con gasto corriente y el resto por parte del Instituto de Seguridad Social de los Trabajadores del Estado (I</w:t>
      </w:r>
      <w:r>
        <w:rPr>
          <w:rFonts w:ascii="Arial" w:hAnsi="Arial" w:cs="Arial"/>
          <w:sz w:val="24"/>
          <w:szCs w:val="24"/>
        </w:rPr>
        <w:t>sstey</w:t>
      </w:r>
      <w:r w:rsidRPr="00044C7F">
        <w:rPr>
          <w:rFonts w:ascii="Arial" w:hAnsi="Arial" w:cs="Arial"/>
          <w:sz w:val="24"/>
          <w:szCs w:val="24"/>
        </w:rPr>
        <w:t>). De acuerdo con datos del último estudio actuarial de 2018, las reservas del instituto cuentan con período de suficiencia hasta el año 2025, esto es si se toma en cuenta una tasa de rendimiento de 2%.</w:t>
      </w:r>
    </w:p>
    <w:p w:rsidR="00C9157F" w:rsidRPr="00044C7F" w:rsidRDefault="00C9157F" w:rsidP="00C9157F">
      <w:pPr>
        <w:autoSpaceDE w:val="0"/>
        <w:autoSpaceDN w:val="0"/>
        <w:adjustRightInd w:val="0"/>
        <w:spacing w:before="100" w:beforeAutospacing="1" w:after="100" w:afterAutospacing="1" w:line="240" w:lineRule="auto"/>
        <w:rPr>
          <w:rFonts w:ascii="Arial" w:hAnsi="Arial" w:cs="Arial"/>
          <w:b/>
          <w:sz w:val="24"/>
          <w:szCs w:val="24"/>
        </w:rPr>
      </w:pPr>
      <w:r>
        <w:rPr>
          <w:rFonts w:ascii="Arial" w:hAnsi="Arial" w:cs="Arial"/>
          <w:b/>
          <w:sz w:val="24"/>
          <w:szCs w:val="24"/>
        </w:rPr>
        <w:t>Finanzas y d</w:t>
      </w:r>
      <w:r w:rsidRPr="00044C7F">
        <w:rPr>
          <w:rFonts w:ascii="Arial" w:hAnsi="Arial" w:cs="Arial"/>
          <w:b/>
          <w:sz w:val="24"/>
          <w:szCs w:val="24"/>
        </w:rPr>
        <w:t xml:space="preserve">esempeño </w:t>
      </w:r>
      <w:r>
        <w:rPr>
          <w:rFonts w:ascii="Arial" w:hAnsi="Arial" w:cs="Arial"/>
          <w:b/>
          <w:sz w:val="24"/>
          <w:szCs w:val="24"/>
        </w:rPr>
        <w:t>f</w:t>
      </w:r>
      <w:r w:rsidRPr="00044C7F">
        <w:rPr>
          <w:rFonts w:ascii="Arial" w:hAnsi="Arial" w:cs="Arial"/>
          <w:b/>
          <w:sz w:val="24"/>
          <w:szCs w:val="24"/>
        </w:rPr>
        <w:t xml:space="preserve">iscal, </w:t>
      </w:r>
      <w:r>
        <w:rPr>
          <w:rFonts w:ascii="Arial" w:hAnsi="Arial" w:cs="Arial"/>
          <w:b/>
          <w:sz w:val="24"/>
          <w:szCs w:val="24"/>
        </w:rPr>
        <w:t>n</w:t>
      </w:r>
      <w:r w:rsidRPr="00044C7F">
        <w:rPr>
          <w:rFonts w:ascii="Arial" w:hAnsi="Arial" w:cs="Arial"/>
          <w:b/>
          <w:sz w:val="24"/>
          <w:szCs w:val="24"/>
        </w:rPr>
        <w:t xml:space="preserve">eutral - </w:t>
      </w:r>
      <w:r>
        <w:rPr>
          <w:rFonts w:ascii="Arial" w:hAnsi="Arial" w:cs="Arial"/>
          <w:b/>
          <w:sz w:val="24"/>
          <w:szCs w:val="24"/>
        </w:rPr>
        <w:t>e</w:t>
      </w:r>
      <w:r w:rsidRPr="00044C7F">
        <w:rPr>
          <w:rFonts w:ascii="Arial" w:hAnsi="Arial" w:cs="Arial"/>
          <w:b/>
          <w:sz w:val="24"/>
          <w:szCs w:val="24"/>
        </w:rPr>
        <w:t>stable:</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Fitch evalúa </w:t>
      </w:r>
      <w:r>
        <w:rPr>
          <w:rFonts w:ascii="Arial" w:hAnsi="Arial" w:cs="Arial"/>
          <w:sz w:val="24"/>
          <w:szCs w:val="24"/>
        </w:rPr>
        <w:t>la flexibilidad financiera del e</w:t>
      </w:r>
      <w:r w:rsidRPr="00044C7F">
        <w:rPr>
          <w:rFonts w:ascii="Arial" w:hAnsi="Arial" w:cs="Arial"/>
          <w:sz w:val="24"/>
          <w:szCs w:val="24"/>
        </w:rPr>
        <w:t xml:space="preserve">stado en un nivel adecuado al cierre de 2018. Los IFOs registraron un monto de MXN16,054 millones, aumento de 10.9% en comparación con lo reportado en 2017. Esto representó 42.3% de la totalidad de los ingresos del </w:t>
      </w:r>
      <w:r>
        <w:rPr>
          <w:rFonts w:ascii="Arial" w:hAnsi="Arial" w:cs="Arial"/>
          <w:sz w:val="24"/>
          <w:szCs w:val="24"/>
        </w:rPr>
        <w:t>e</w:t>
      </w:r>
      <w:r w:rsidRPr="00044C7F">
        <w:rPr>
          <w:rFonts w:ascii="Arial" w:hAnsi="Arial" w:cs="Arial"/>
          <w:sz w:val="24"/>
          <w:szCs w:val="24"/>
        </w:rPr>
        <w:t>stado. De acuerdo con los datos al cuar</w:t>
      </w:r>
      <w:r>
        <w:rPr>
          <w:rFonts w:ascii="Arial" w:hAnsi="Arial" w:cs="Arial"/>
          <w:sz w:val="24"/>
          <w:szCs w:val="24"/>
        </w:rPr>
        <w:t>t</w:t>
      </w:r>
      <w:r w:rsidRPr="00044C7F">
        <w:rPr>
          <w:rFonts w:ascii="Arial" w:hAnsi="Arial" w:cs="Arial"/>
          <w:sz w:val="24"/>
          <w:szCs w:val="24"/>
        </w:rPr>
        <w:t xml:space="preserve">o trimestre 2018, </w:t>
      </w:r>
      <w:r>
        <w:rPr>
          <w:rFonts w:ascii="Arial" w:hAnsi="Arial" w:cs="Arial"/>
          <w:sz w:val="24"/>
          <w:szCs w:val="24"/>
        </w:rPr>
        <w:t>los Ingresos T</w:t>
      </w:r>
      <w:r w:rsidRPr="00044C7F">
        <w:rPr>
          <w:rFonts w:ascii="Arial" w:hAnsi="Arial" w:cs="Arial"/>
          <w:sz w:val="24"/>
          <w:szCs w:val="24"/>
        </w:rPr>
        <w:t xml:space="preserve">otales (IT) de Yucatán sumaron MXN37,890 millones y MXN4,300 millones los </w:t>
      </w:r>
      <w:r>
        <w:rPr>
          <w:rFonts w:ascii="Arial" w:hAnsi="Arial" w:cs="Arial"/>
          <w:sz w:val="24"/>
          <w:szCs w:val="24"/>
        </w:rPr>
        <w:t>I</w:t>
      </w:r>
      <w:r w:rsidRPr="00044C7F">
        <w:rPr>
          <w:rFonts w:ascii="Arial" w:hAnsi="Arial" w:cs="Arial"/>
          <w:sz w:val="24"/>
          <w:szCs w:val="24"/>
        </w:rPr>
        <w:t xml:space="preserve">ngresos Estatales (IE). Los IE son equiparables a 11.3% los IT, el cual compara de manera favorable contra la mediana </w:t>
      </w:r>
      <w:r>
        <w:rPr>
          <w:rFonts w:ascii="Arial" w:hAnsi="Arial" w:cs="Arial"/>
          <w:sz w:val="24"/>
          <w:szCs w:val="24"/>
        </w:rPr>
        <w:t xml:space="preserve">de GEF </w:t>
      </w:r>
      <w:r w:rsidRPr="00044C7F">
        <w:rPr>
          <w:rFonts w:ascii="Arial" w:hAnsi="Arial" w:cs="Arial"/>
          <w:sz w:val="24"/>
          <w:szCs w:val="24"/>
        </w:rPr>
        <w:t xml:space="preserve">(10.1%) y la mediana de los </w:t>
      </w:r>
      <w:r>
        <w:rPr>
          <w:rFonts w:ascii="Arial" w:hAnsi="Arial" w:cs="Arial"/>
          <w:sz w:val="24"/>
          <w:szCs w:val="24"/>
        </w:rPr>
        <w:t>e</w:t>
      </w:r>
      <w:r w:rsidRPr="00044C7F">
        <w:rPr>
          <w:rFonts w:ascii="Arial" w:hAnsi="Arial" w:cs="Arial"/>
          <w:sz w:val="24"/>
          <w:szCs w:val="24"/>
        </w:rPr>
        <w:t xml:space="preserve">stados calificados en As (10.1%); esto representa la eficiencia del </w:t>
      </w:r>
      <w:r>
        <w:rPr>
          <w:rFonts w:ascii="Arial" w:hAnsi="Arial" w:cs="Arial"/>
          <w:sz w:val="24"/>
          <w:szCs w:val="24"/>
        </w:rPr>
        <w:t>e</w:t>
      </w:r>
      <w:r w:rsidRPr="00044C7F">
        <w:rPr>
          <w:rFonts w:ascii="Arial" w:hAnsi="Arial" w:cs="Arial"/>
          <w:sz w:val="24"/>
          <w:szCs w:val="24"/>
        </w:rPr>
        <w:t>stado en la recolección de sus ingresos propios.</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En cuanto al gasto operacional (GO; gasto corriente más transferencias no etiquetadas) este ha mantenido una tendencia creciente durante los últimos períodos y registran MXN14,760 millones al cierre de 2018, esto es un incremento de 6.6% comparado con 2017. La administración ha implementado una política de austeridad, para así poder lograr niveles de eficiencia y contener el gasto. El gasto total sumó MXN37,670 millones. Considerando lo anterior, el AI reportó niveles positivos, registrando MXN1,294 millones al cierre de 2018, siendo esto 8% de los IFOs.</w:t>
      </w:r>
    </w:p>
    <w:p w:rsidR="00C9157F" w:rsidRPr="00044C7F" w:rsidRDefault="00C9157F" w:rsidP="00C9157F">
      <w:pPr>
        <w:autoSpaceDE w:val="0"/>
        <w:autoSpaceDN w:val="0"/>
        <w:adjustRightInd w:val="0"/>
        <w:spacing w:before="100" w:beforeAutospacing="1" w:after="100" w:afterAutospacing="1" w:line="240" w:lineRule="auto"/>
        <w:rPr>
          <w:rFonts w:ascii="Arial" w:hAnsi="Arial" w:cs="Arial"/>
          <w:b/>
          <w:sz w:val="24"/>
          <w:szCs w:val="24"/>
        </w:rPr>
      </w:pPr>
      <w:r>
        <w:rPr>
          <w:rFonts w:ascii="Arial" w:hAnsi="Arial" w:cs="Arial"/>
          <w:b/>
          <w:sz w:val="24"/>
          <w:szCs w:val="24"/>
        </w:rPr>
        <w:t>Economía, n</w:t>
      </w:r>
      <w:r w:rsidRPr="00044C7F">
        <w:rPr>
          <w:rFonts w:ascii="Arial" w:hAnsi="Arial" w:cs="Arial"/>
          <w:b/>
          <w:sz w:val="24"/>
          <w:szCs w:val="24"/>
        </w:rPr>
        <w:t xml:space="preserve">eutral - </w:t>
      </w:r>
      <w:r>
        <w:rPr>
          <w:rFonts w:ascii="Arial" w:hAnsi="Arial" w:cs="Arial"/>
          <w:b/>
          <w:sz w:val="24"/>
          <w:szCs w:val="24"/>
        </w:rPr>
        <w:t>e</w:t>
      </w:r>
      <w:r w:rsidRPr="00044C7F">
        <w:rPr>
          <w:rFonts w:ascii="Arial" w:hAnsi="Arial" w:cs="Arial"/>
          <w:b/>
          <w:sz w:val="24"/>
          <w:szCs w:val="24"/>
        </w:rPr>
        <w:t>stable:</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El </w:t>
      </w:r>
      <w:r>
        <w:rPr>
          <w:rFonts w:ascii="Arial" w:hAnsi="Arial" w:cs="Arial"/>
          <w:sz w:val="24"/>
          <w:szCs w:val="24"/>
        </w:rPr>
        <w:t>e</w:t>
      </w:r>
      <w:r w:rsidRPr="00044C7F">
        <w:rPr>
          <w:rFonts w:ascii="Arial" w:hAnsi="Arial" w:cs="Arial"/>
          <w:sz w:val="24"/>
          <w:szCs w:val="24"/>
        </w:rPr>
        <w:t xml:space="preserve">stado de Yucatán está localizado al sureste del país lo conforman 106 municipios y su capital es el municipio de Mérida. De acuerdo con el Instituto Nacional de Estadística y Geografía (Inegi), en 2015 la </w:t>
      </w:r>
      <w:r>
        <w:rPr>
          <w:rFonts w:ascii="Arial" w:hAnsi="Arial" w:cs="Arial"/>
          <w:sz w:val="24"/>
          <w:szCs w:val="24"/>
        </w:rPr>
        <w:t>población del e</w:t>
      </w:r>
      <w:r w:rsidRPr="00044C7F">
        <w:rPr>
          <w:rFonts w:ascii="Arial" w:hAnsi="Arial" w:cs="Arial"/>
          <w:sz w:val="24"/>
          <w:szCs w:val="24"/>
        </w:rPr>
        <w:t>stado alcanzaba 2 millones de habitantes. La actividad ec</w:t>
      </w:r>
      <w:r>
        <w:rPr>
          <w:rFonts w:ascii="Arial" w:hAnsi="Arial" w:cs="Arial"/>
          <w:sz w:val="24"/>
          <w:szCs w:val="24"/>
        </w:rPr>
        <w:t>onómica del e</w:t>
      </w:r>
      <w:r w:rsidRPr="00044C7F">
        <w:rPr>
          <w:rFonts w:ascii="Arial" w:hAnsi="Arial" w:cs="Arial"/>
          <w:sz w:val="24"/>
          <w:szCs w:val="24"/>
        </w:rPr>
        <w:t xml:space="preserve">stado se concentra principalmente en las actividades terciarias, como el turismo, el cual forma una parte muy importante en el </w:t>
      </w:r>
      <w:r>
        <w:rPr>
          <w:rFonts w:ascii="Arial" w:hAnsi="Arial" w:cs="Arial"/>
          <w:sz w:val="24"/>
          <w:szCs w:val="24"/>
        </w:rPr>
        <w:t>e</w:t>
      </w:r>
      <w:r w:rsidRPr="00044C7F">
        <w:rPr>
          <w:rFonts w:ascii="Arial" w:hAnsi="Arial" w:cs="Arial"/>
          <w:sz w:val="24"/>
          <w:szCs w:val="24"/>
        </w:rPr>
        <w:t>stado</w:t>
      </w:r>
      <w:r>
        <w:rPr>
          <w:rFonts w:ascii="Arial" w:hAnsi="Arial" w:cs="Arial"/>
          <w:sz w:val="24"/>
          <w:szCs w:val="24"/>
        </w:rPr>
        <w:t>,</w:t>
      </w:r>
      <w:r w:rsidRPr="00044C7F">
        <w:rPr>
          <w:rFonts w:ascii="Arial" w:hAnsi="Arial" w:cs="Arial"/>
          <w:sz w:val="24"/>
          <w:szCs w:val="24"/>
        </w:rPr>
        <w:t xml:space="preserve"> principalmente en el municipio de Mérida gracias a las ruinas mayas. En cuanto a</w:t>
      </w:r>
      <w:r>
        <w:rPr>
          <w:rFonts w:ascii="Arial" w:hAnsi="Arial" w:cs="Arial"/>
          <w:sz w:val="24"/>
          <w:szCs w:val="24"/>
        </w:rPr>
        <w:t>l</w:t>
      </w:r>
      <w:r w:rsidRPr="00044C7F">
        <w:rPr>
          <w:rFonts w:ascii="Arial" w:hAnsi="Arial" w:cs="Arial"/>
          <w:sz w:val="24"/>
          <w:szCs w:val="24"/>
        </w:rPr>
        <w:t xml:space="preserve"> nivel de pobreza, </w:t>
      </w:r>
      <w:r>
        <w:rPr>
          <w:rFonts w:ascii="Arial" w:hAnsi="Arial" w:cs="Arial"/>
          <w:sz w:val="24"/>
          <w:szCs w:val="24"/>
        </w:rPr>
        <w:t>los datos de</w:t>
      </w:r>
      <w:r w:rsidRPr="00044C7F">
        <w:rPr>
          <w:rFonts w:ascii="Arial" w:hAnsi="Arial" w:cs="Arial"/>
          <w:sz w:val="24"/>
          <w:szCs w:val="24"/>
        </w:rPr>
        <w:t xml:space="preserve"> 2016 de</w:t>
      </w:r>
      <w:r>
        <w:rPr>
          <w:rFonts w:ascii="Arial" w:hAnsi="Arial" w:cs="Arial"/>
          <w:sz w:val="24"/>
          <w:szCs w:val="24"/>
        </w:rPr>
        <w:t>l</w:t>
      </w:r>
      <w:r w:rsidRPr="00044C7F">
        <w:rPr>
          <w:rFonts w:ascii="Arial" w:hAnsi="Arial" w:cs="Arial"/>
          <w:sz w:val="24"/>
          <w:szCs w:val="24"/>
        </w:rPr>
        <w:t xml:space="preserve"> Consejo Nacional de Evaluación de la Política de Desarrollo Social (Coneval), posicionaron el nivel de pobreza en 41.9%, </w:t>
      </w:r>
      <w:r>
        <w:rPr>
          <w:rFonts w:ascii="Arial" w:hAnsi="Arial" w:cs="Arial"/>
          <w:sz w:val="24"/>
          <w:szCs w:val="24"/>
        </w:rPr>
        <w:t xml:space="preserve">por lo que </w:t>
      </w:r>
      <w:r w:rsidRPr="00044C7F">
        <w:rPr>
          <w:rFonts w:ascii="Arial" w:hAnsi="Arial" w:cs="Arial"/>
          <w:sz w:val="24"/>
          <w:szCs w:val="24"/>
        </w:rPr>
        <w:t xml:space="preserve">ocupa la posición número 16 a nivel nacional. De acuerdo con el Consejo Nacional de Población (Conapo), el </w:t>
      </w:r>
      <w:r>
        <w:rPr>
          <w:rFonts w:ascii="Arial" w:hAnsi="Arial" w:cs="Arial"/>
          <w:sz w:val="24"/>
          <w:szCs w:val="24"/>
        </w:rPr>
        <w:t>e</w:t>
      </w:r>
      <w:r w:rsidRPr="00044C7F">
        <w:rPr>
          <w:rFonts w:ascii="Arial" w:hAnsi="Arial" w:cs="Arial"/>
          <w:sz w:val="24"/>
          <w:szCs w:val="24"/>
        </w:rPr>
        <w:t>stado cuenta con un grado de marginación alto.</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b/>
          <w:sz w:val="24"/>
          <w:szCs w:val="24"/>
        </w:rPr>
      </w:pPr>
      <w:r w:rsidRPr="00044C7F">
        <w:rPr>
          <w:rFonts w:ascii="Arial" w:hAnsi="Arial" w:cs="Arial"/>
          <w:b/>
          <w:sz w:val="24"/>
          <w:szCs w:val="24"/>
        </w:rPr>
        <w:t xml:space="preserve">Gestión y </w:t>
      </w:r>
      <w:r>
        <w:rPr>
          <w:rFonts w:ascii="Arial" w:hAnsi="Arial" w:cs="Arial"/>
          <w:b/>
          <w:sz w:val="24"/>
          <w:szCs w:val="24"/>
        </w:rPr>
        <w:t>a</w:t>
      </w:r>
      <w:r w:rsidRPr="00044C7F">
        <w:rPr>
          <w:rFonts w:ascii="Arial" w:hAnsi="Arial" w:cs="Arial"/>
          <w:b/>
          <w:sz w:val="24"/>
          <w:szCs w:val="24"/>
        </w:rPr>
        <w:t xml:space="preserve">dministración, </w:t>
      </w:r>
      <w:r>
        <w:rPr>
          <w:rFonts w:ascii="Arial" w:hAnsi="Arial" w:cs="Arial"/>
          <w:b/>
          <w:sz w:val="24"/>
          <w:szCs w:val="24"/>
        </w:rPr>
        <w:t>f</w:t>
      </w:r>
      <w:r w:rsidRPr="00044C7F">
        <w:rPr>
          <w:rFonts w:ascii="Arial" w:hAnsi="Arial" w:cs="Arial"/>
          <w:b/>
          <w:sz w:val="24"/>
          <w:szCs w:val="24"/>
        </w:rPr>
        <w:t xml:space="preserve">uerte - </w:t>
      </w:r>
      <w:r>
        <w:rPr>
          <w:rFonts w:ascii="Arial" w:hAnsi="Arial" w:cs="Arial"/>
          <w:b/>
          <w:sz w:val="24"/>
          <w:szCs w:val="24"/>
        </w:rPr>
        <w:t>e</w:t>
      </w:r>
      <w:r w:rsidRPr="00044C7F">
        <w:rPr>
          <w:rFonts w:ascii="Arial" w:hAnsi="Arial" w:cs="Arial"/>
          <w:b/>
          <w:sz w:val="24"/>
          <w:szCs w:val="24"/>
        </w:rPr>
        <w:t>stable:</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Yucatán presenta una política de endeudamiento prudente. El objetivo de la administración actual es mantener una política de austeridad. La información financiera del </w:t>
      </w:r>
      <w:r>
        <w:rPr>
          <w:rFonts w:ascii="Arial" w:hAnsi="Arial" w:cs="Arial"/>
          <w:sz w:val="24"/>
          <w:szCs w:val="24"/>
        </w:rPr>
        <w:t>e</w:t>
      </w:r>
      <w:r w:rsidRPr="00044C7F">
        <w:rPr>
          <w:rFonts w:ascii="Arial" w:hAnsi="Arial" w:cs="Arial"/>
          <w:sz w:val="24"/>
          <w:szCs w:val="24"/>
        </w:rPr>
        <w:t xml:space="preserve">stado está homologada de acuerdo con los lineamientos del Consejo Nacional de Armonización Contable (Conac). El Instituto Mexicano para la Competitividad (Imco), calificó a Yucatán con una puntuación de 92% </w:t>
      </w:r>
      <w:r>
        <w:rPr>
          <w:rFonts w:ascii="Arial" w:hAnsi="Arial" w:cs="Arial"/>
          <w:sz w:val="24"/>
          <w:szCs w:val="24"/>
        </w:rPr>
        <w:t>co</w:t>
      </w:r>
      <w:r w:rsidRPr="00044C7F">
        <w:rPr>
          <w:rFonts w:ascii="Arial" w:hAnsi="Arial" w:cs="Arial"/>
          <w:sz w:val="24"/>
          <w:szCs w:val="24"/>
        </w:rPr>
        <w:t>n respecto al Índice de Información Presupuestal 2017.</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b/>
          <w:sz w:val="24"/>
          <w:szCs w:val="24"/>
        </w:rPr>
      </w:pPr>
      <w:r w:rsidRPr="00044C7F">
        <w:rPr>
          <w:rFonts w:ascii="Arial" w:hAnsi="Arial" w:cs="Arial"/>
          <w:b/>
          <w:sz w:val="24"/>
          <w:szCs w:val="24"/>
        </w:rPr>
        <w:t>Calificación crediticia de HR Ratings de México S.A. de C.V.</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En el comunicado publicado el 31 de julio de 2018, HR ratificó la calificación HR AA- con perspectiva estable, algunos de los aspectos más importantes sobre los que se basa la calificación son:</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Deuda y métricas de deuda en línea con las estimaciones. Al cierre de 2017, la DDA fue por P$3,987.3m, la cual estuvo compuesta por P$3,737.3m de deuda estructurada a largo plazo y P$250.0m por deuda quirografaria a corto plazo</w:t>
      </w:r>
      <w:r>
        <w:rPr>
          <w:rFonts w:ascii="Arial" w:hAnsi="Arial" w:cs="Arial"/>
          <w:sz w:val="24"/>
          <w:szCs w:val="24"/>
        </w:rPr>
        <w:t>. La deuda a corto plazo de la e</w:t>
      </w:r>
      <w:r w:rsidRPr="00044C7F">
        <w:rPr>
          <w:rFonts w:ascii="Arial" w:hAnsi="Arial" w:cs="Arial"/>
          <w:sz w:val="24"/>
          <w:szCs w:val="24"/>
        </w:rPr>
        <w:t xml:space="preserve">ntidad se compuso por dos créditos quirografarios con Banorte por P$150.0m y P$100.0m. Estos fueron liquidados durante el primer semestre de 2018, por lo que actualmente el </w:t>
      </w:r>
      <w:r>
        <w:rPr>
          <w:rFonts w:ascii="Arial" w:hAnsi="Arial" w:cs="Arial"/>
          <w:sz w:val="24"/>
          <w:szCs w:val="24"/>
        </w:rPr>
        <w:t>e</w:t>
      </w:r>
      <w:r w:rsidRPr="00044C7F">
        <w:rPr>
          <w:rFonts w:ascii="Arial" w:hAnsi="Arial" w:cs="Arial"/>
          <w:sz w:val="24"/>
          <w:szCs w:val="24"/>
        </w:rPr>
        <w:t>stado no cuenta con deuda a corto plazo. Por lo anterior, al cierre de 2017, la DNA representó 27.2% de los ILD, mientras que HR Ratings estimaba 24.1%. Asimismo, el SD a ILD fue de 2.8%. De acuerdo con el comportamiento esperado en el BP d</w:t>
      </w:r>
      <w:r>
        <w:rPr>
          <w:rFonts w:ascii="Arial" w:hAnsi="Arial" w:cs="Arial"/>
          <w:sz w:val="24"/>
          <w:szCs w:val="24"/>
        </w:rPr>
        <w:t>el e</w:t>
      </w:r>
      <w:r w:rsidRPr="00044C7F">
        <w:rPr>
          <w:rFonts w:ascii="Arial" w:hAnsi="Arial" w:cs="Arial"/>
          <w:sz w:val="24"/>
          <w:szCs w:val="24"/>
        </w:rPr>
        <w:t xml:space="preserve">stado en los próximos años, HR Ratings estima que la DNA a ILD se mantenga en un promedio de 27.7%. Asimismo, las estimaciones consideran que para los próximos años no sea necesario el uso de financiamiento a corto plazo, el cual representó 6.3% de la deuda total de </w:t>
      </w:r>
      <w:r>
        <w:rPr>
          <w:rFonts w:ascii="Arial" w:hAnsi="Arial" w:cs="Arial"/>
          <w:sz w:val="24"/>
          <w:szCs w:val="24"/>
        </w:rPr>
        <w:t>la e</w:t>
      </w:r>
      <w:r w:rsidRPr="00044C7F">
        <w:rPr>
          <w:rFonts w:ascii="Arial" w:hAnsi="Arial" w:cs="Arial"/>
          <w:sz w:val="24"/>
          <w:szCs w:val="24"/>
        </w:rPr>
        <w:t>ntidad en 2017.</w:t>
      </w:r>
    </w:p>
    <w:p w:rsidR="00C9157F" w:rsidRDefault="00C9157F" w:rsidP="00C9157F">
      <w:pPr>
        <w:autoSpaceDE w:val="0"/>
        <w:autoSpaceDN w:val="0"/>
        <w:adjustRightInd w:val="0"/>
        <w:spacing w:before="100" w:beforeAutospacing="1" w:after="100" w:afterAutospacing="1" w:line="240" w:lineRule="auto"/>
        <w:jc w:val="both"/>
        <w:rPr>
          <w:rFonts w:ascii="Arial" w:hAnsi="Arial" w:cs="Arial"/>
          <w:b/>
          <w:sz w:val="24"/>
          <w:szCs w:val="24"/>
        </w:rPr>
      </w:pPr>
      <w:r w:rsidRPr="00044C7F">
        <w:rPr>
          <w:rFonts w:ascii="Arial" w:hAnsi="Arial" w:cs="Arial"/>
          <w:b/>
          <w:sz w:val="24"/>
          <w:szCs w:val="24"/>
        </w:rPr>
        <w:t xml:space="preserve">Comportamiento del </w:t>
      </w:r>
      <w:r>
        <w:rPr>
          <w:rFonts w:ascii="Arial" w:hAnsi="Arial" w:cs="Arial"/>
          <w:b/>
          <w:sz w:val="24"/>
          <w:szCs w:val="24"/>
        </w:rPr>
        <w:t>balance p</w:t>
      </w:r>
      <w:r w:rsidRPr="00044C7F">
        <w:rPr>
          <w:rFonts w:ascii="Arial" w:hAnsi="Arial" w:cs="Arial"/>
          <w:b/>
          <w:sz w:val="24"/>
          <w:szCs w:val="24"/>
        </w:rPr>
        <w:t xml:space="preserve">rimario (BP) y expectativas. </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En 2017, el déficit en el BP del </w:t>
      </w:r>
      <w:r>
        <w:rPr>
          <w:rFonts w:ascii="Arial" w:hAnsi="Arial" w:cs="Arial"/>
          <w:sz w:val="24"/>
          <w:szCs w:val="24"/>
        </w:rPr>
        <w:t>e</w:t>
      </w:r>
      <w:r w:rsidRPr="00044C7F">
        <w:rPr>
          <w:rFonts w:ascii="Arial" w:hAnsi="Arial" w:cs="Arial"/>
          <w:sz w:val="24"/>
          <w:szCs w:val="24"/>
        </w:rPr>
        <w:t xml:space="preserve">stado </w:t>
      </w:r>
      <w:r>
        <w:rPr>
          <w:rFonts w:ascii="Arial" w:hAnsi="Arial" w:cs="Arial"/>
          <w:sz w:val="24"/>
          <w:szCs w:val="24"/>
        </w:rPr>
        <w:t>representó 0.9% de los i</w:t>
      </w:r>
      <w:r w:rsidRPr="00044C7F">
        <w:rPr>
          <w:rFonts w:ascii="Arial" w:hAnsi="Arial" w:cs="Arial"/>
          <w:sz w:val="24"/>
          <w:szCs w:val="24"/>
        </w:rPr>
        <w:t xml:space="preserve">ngresos </w:t>
      </w:r>
      <w:r>
        <w:rPr>
          <w:rFonts w:ascii="Arial" w:hAnsi="Arial" w:cs="Arial"/>
          <w:sz w:val="24"/>
          <w:szCs w:val="24"/>
        </w:rPr>
        <w:t>t</w:t>
      </w:r>
      <w:r w:rsidRPr="00044C7F">
        <w:rPr>
          <w:rFonts w:ascii="Arial" w:hAnsi="Arial" w:cs="Arial"/>
          <w:sz w:val="24"/>
          <w:szCs w:val="24"/>
        </w:rPr>
        <w:t>otales. Este nivel de déficit fue menor al observado en 2016, el cual representó 1.5% de los IT. La dismin</w:t>
      </w:r>
      <w:r>
        <w:rPr>
          <w:rFonts w:ascii="Arial" w:hAnsi="Arial" w:cs="Arial"/>
          <w:sz w:val="24"/>
          <w:szCs w:val="24"/>
        </w:rPr>
        <w:t>ución en el déficit fiscal del e</w:t>
      </w:r>
      <w:r w:rsidRPr="00044C7F">
        <w:rPr>
          <w:rFonts w:ascii="Arial" w:hAnsi="Arial" w:cs="Arial"/>
          <w:sz w:val="24"/>
          <w:szCs w:val="24"/>
        </w:rPr>
        <w:t xml:space="preserve">stado en 2017 se originó principalmente </w:t>
      </w:r>
      <w:r>
        <w:rPr>
          <w:rFonts w:ascii="Arial" w:hAnsi="Arial" w:cs="Arial"/>
          <w:sz w:val="24"/>
          <w:szCs w:val="24"/>
        </w:rPr>
        <w:t>por el incremento en los i</w:t>
      </w:r>
      <w:r w:rsidRPr="00044C7F">
        <w:rPr>
          <w:rFonts w:ascii="Arial" w:hAnsi="Arial" w:cs="Arial"/>
          <w:sz w:val="24"/>
          <w:szCs w:val="24"/>
        </w:rPr>
        <w:t xml:space="preserve">ngresos tanto </w:t>
      </w:r>
      <w:r>
        <w:rPr>
          <w:rFonts w:ascii="Arial" w:hAnsi="Arial" w:cs="Arial"/>
          <w:sz w:val="24"/>
          <w:szCs w:val="24"/>
        </w:rPr>
        <w:t>f</w:t>
      </w:r>
      <w:r w:rsidRPr="00044C7F">
        <w:rPr>
          <w:rFonts w:ascii="Arial" w:hAnsi="Arial" w:cs="Arial"/>
          <w:sz w:val="24"/>
          <w:szCs w:val="24"/>
        </w:rPr>
        <w:t xml:space="preserve">ederales como propios. De acuerdo con el comportamiento observado en el gasto del </w:t>
      </w:r>
      <w:r>
        <w:rPr>
          <w:rFonts w:ascii="Arial" w:hAnsi="Arial" w:cs="Arial"/>
          <w:sz w:val="24"/>
          <w:szCs w:val="24"/>
        </w:rPr>
        <w:t>e</w:t>
      </w:r>
      <w:r w:rsidRPr="00044C7F">
        <w:rPr>
          <w:rFonts w:ascii="Arial" w:hAnsi="Arial" w:cs="Arial"/>
          <w:sz w:val="24"/>
          <w:szCs w:val="24"/>
        </w:rPr>
        <w:t>stado, así como un crecimiento esperado menor en los ingreso</w:t>
      </w:r>
      <w:r>
        <w:rPr>
          <w:rFonts w:ascii="Arial" w:hAnsi="Arial" w:cs="Arial"/>
          <w:sz w:val="24"/>
          <w:szCs w:val="24"/>
        </w:rPr>
        <w:t>s, el b</w:t>
      </w:r>
      <w:r w:rsidRPr="00044C7F">
        <w:rPr>
          <w:rFonts w:ascii="Arial" w:hAnsi="Arial" w:cs="Arial"/>
          <w:sz w:val="24"/>
          <w:szCs w:val="24"/>
        </w:rPr>
        <w:t xml:space="preserve">alance </w:t>
      </w:r>
      <w:r>
        <w:rPr>
          <w:rFonts w:ascii="Arial" w:hAnsi="Arial" w:cs="Arial"/>
          <w:sz w:val="24"/>
          <w:szCs w:val="24"/>
        </w:rPr>
        <w:t>primario del e</w:t>
      </w:r>
      <w:r w:rsidRPr="00044C7F">
        <w:rPr>
          <w:rFonts w:ascii="Arial" w:hAnsi="Arial" w:cs="Arial"/>
          <w:sz w:val="24"/>
          <w:szCs w:val="24"/>
        </w:rPr>
        <w:t>stado reporta</w:t>
      </w:r>
      <w:r>
        <w:rPr>
          <w:rFonts w:ascii="Arial" w:hAnsi="Arial" w:cs="Arial"/>
          <w:sz w:val="24"/>
          <w:szCs w:val="24"/>
        </w:rPr>
        <w:t>ría un déficit por 1.5% de los i</w:t>
      </w:r>
      <w:r w:rsidRPr="00044C7F">
        <w:rPr>
          <w:rFonts w:ascii="Arial" w:hAnsi="Arial" w:cs="Arial"/>
          <w:sz w:val="24"/>
          <w:szCs w:val="24"/>
        </w:rPr>
        <w:t>ngresos esperados. Asimismo, se mantendría en 1.0% para los próximos periodos.</w:t>
      </w:r>
    </w:p>
    <w:p w:rsidR="00C915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b/>
          <w:sz w:val="24"/>
          <w:szCs w:val="24"/>
        </w:rPr>
        <w:t xml:space="preserve">Comportamiento de las </w:t>
      </w:r>
      <w:r>
        <w:rPr>
          <w:rFonts w:ascii="Arial" w:hAnsi="Arial" w:cs="Arial"/>
          <w:b/>
          <w:sz w:val="24"/>
          <w:szCs w:val="24"/>
        </w:rPr>
        <w:t>obligaciones financieras sin c</w:t>
      </w:r>
      <w:r w:rsidRPr="00044C7F">
        <w:rPr>
          <w:rFonts w:ascii="Arial" w:hAnsi="Arial" w:cs="Arial"/>
          <w:b/>
          <w:sz w:val="24"/>
          <w:szCs w:val="24"/>
        </w:rPr>
        <w:t>osto (OFsC).</w:t>
      </w:r>
      <w:r w:rsidRPr="00044C7F">
        <w:rPr>
          <w:rFonts w:ascii="Arial" w:hAnsi="Arial" w:cs="Arial"/>
          <w:sz w:val="24"/>
          <w:szCs w:val="24"/>
        </w:rPr>
        <w:t xml:space="preserve"> </w:t>
      </w:r>
    </w:p>
    <w:p w:rsidR="00C9157F" w:rsidRPr="00044C7F" w:rsidRDefault="00C9157F" w:rsidP="00C9157F">
      <w:pPr>
        <w:autoSpaceDE w:val="0"/>
        <w:autoSpaceDN w:val="0"/>
        <w:adjustRightInd w:val="0"/>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Al cierre de 2016, se observó que las </w:t>
      </w:r>
      <w:r>
        <w:rPr>
          <w:rFonts w:ascii="Arial" w:hAnsi="Arial" w:cs="Arial"/>
          <w:sz w:val="24"/>
          <w:szCs w:val="24"/>
        </w:rPr>
        <w:t>obligaciones f</w:t>
      </w:r>
      <w:r w:rsidRPr="00044C7F">
        <w:rPr>
          <w:rFonts w:ascii="Arial" w:hAnsi="Arial" w:cs="Arial"/>
          <w:sz w:val="24"/>
          <w:szCs w:val="24"/>
        </w:rPr>
        <w:t xml:space="preserve">inancieras sin </w:t>
      </w:r>
      <w:r>
        <w:rPr>
          <w:rFonts w:ascii="Arial" w:hAnsi="Arial" w:cs="Arial"/>
          <w:sz w:val="24"/>
          <w:szCs w:val="24"/>
        </w:rPr>
        <w:t>c</w:t>
      </w:r>
      <w:r w:rsidRPr="00044C7F">
        <w:rPr>
          <w:rFonts w:ascii="Arial" w:hAnsi="Arial" w:cs="Arial"/>
          <w:sz w:val="24"/>
          <w:szCs w:val="24"/>
        </w:rPr>
        <w:t>osto fueron por P$880.2m, mientras que en 2017 reportaron un saldo por P$750.5m. Esto debido al com</w:t>
      </w:r>
      <w:r>
        <w:rPr>
          <w:rFonts w:ascii="Arial" w:hAnsi="Arial" w:cs="Arial"/>
          <w:sz w:val="24"/>
          <w:szCs w:val="24"/>
        </w:rPr>
        <w:t>portamiento de los pasivos con p</w:t>
      </w:r>
      <w:r w:rsidRPr="00044C7F">
        <w:rPr>
          <w:rFonts w:ascii="Arial" w:hAnsi="Arial" w:cs="Arial"/>
          <w:sz w:val="24"/>
          <w:szCs w:val="24"/>
        </w:rPr>
        <w:t xml:space="preserve">roveedores, lo cual se vio reflejado en </w:t>
      </w:r>
      <w:r>
        <w:rPr>
          <w:rFonts w:ascii="Arial" w:hAnsi="Arial" w:cs="Arial"/>
          <w:sz w:val="24"/>
          <w:szCs w:val="24"/>
        </w:rPr>
        <w:t>que las c</w:t>
      </w:r>
      <w:r w:rsidRPr="00044C7F">
        <w:rPr>
          <w:rFonts w:ascii="Arial" w:hAnsi="Arial" w:cs="Arial"/>
          <w:sz w:val="24"/>
          <w:szCs w:val="24"/>
        </w:rPr>
        <w:t xml:space="preserve">uentas por </w:t>
      </w:r>
      <w:r>
        <w:rPr>
          <w:rFonts w:ascii="Arial" w:hAnsi="Arial" w:cs="Arial"/>
          <w:sz w:val="24"/>
          <w:szCs w:val="24"/>
        </w:rPr>
        <w:t>p</w:t>
      </w:r>
      <w:r w:rsidRPr="00044C7F">
        <w:rPr>
          <w:rFonts w:ascii="Arial" w:hAnsi="Arial" w:cs="Arial"/>
          <w:sz w:val="24"/>
          <w:szCs w:val="24"/>
        </w:rPr>
        <w:t xml:space="preserve">agar disminuyeran para 2017. Con esto, las OFsC a ILD pasaron de 7.2% en 2016 a 5.4% para 2017. El nivel de esta métrica refleja el bajo nivel de pasivo circulante con el que cuenta el </w:t>
      </w:r>
      <w:r>
        <w:rPr>
          <w:rFonts w:ascii="Arial" w:hAnsi="Arial" w:cs="Arial"/>
          <w:sz w:val="24"/>
          <w:szCs w:val="24"/>
        </w:rPr>
        <w:t>e</w:t>
      </w:r>
      <w:r w:rsidRPr="00044C7F">
        <w:rPr>
          <w:rFonts w:ascii="Arial" w:hAnsi="Arial" w:cs="Arial"/>
          <w:sz w:val="24"/>
          <w:szCs w:val="24"/>
        </w:rPr>
        <w:t>stado</w:t>
      </w:r>
      <w:r>
        <w:rPr>
          <w:rFonts w:ascii="Arial" w:hAnsi="Arial" w:cs="Arial"/>
          <w:sz w:val="24"/>
          <w:szCs w:val="24"/>
        </w:rPr>
        <w:t>.</w:t>
      </w:r>
    </w:p>
    <w:p w:rsidR="00C9157F" w:rsidRPr="00044C7F" w:rsidRDefault="00C9157F" w:rsidP="00C9157F">
      <w:pPr>
        <w:pStyle w:val="Prrafodelista"/>
        <w:numPr>
          <w:ilvl w:val="0"/>
          <w:numId w:val="2"/>
        </w:numPr>
        <w:tabs>
          <w:tab w:val="left" w:pos="1134"/>
        </w:tabs>
        <w:spacing w:before="100" w:beforeAutospacing="1" w:after="100" w:afterAutospacing="1" w:line="240" w:lineRule="auto"/>
        <w:ind w:left="0" w:firstLine="709"/>
        <w:jc w:val="both"/>
        <w:rPr>
          <w:rFonts w:ascii="Arial" w:hAnsi="Arial" w:cs="Arial"/>
          <w:b/>
          <w:sz w:val="24"/>
          <w:szCs w:val="24"/>
        </w:rPr>
      </w:pPr>
      <w:r w:rsidRPr="00044C7F">
        <w:rPr>
          <w:rFonts w:ascii="Arial" w:hAnsi="Arial" w:cs="Arial"/>
          <w:b/>
          <w:sz w:val="24"/>
          <w:szCs w:val="24"/>
        </w:rPr>
        <w:t xml:space="preserve">Comparativa de </w:t>
      </w:r>
      <w:r>
        <w:rPr>
          <w:rFonts w:ascii="Arial" w:hAnsi="Arial" w:cs="Arial"/>
          <w:b/>
          <w:sz w:val="24"/>
          <w:szCs w:val="24"/>
        </w:rPr>
        <w:t>los principales indicadores de d</w:t>
      </w:r>
      <w:r w:rsidRPr="00044C7F">
        <w:rPr>
          <w:rFonts w:ascii="Arial" w:hAnsi="Arial" w:cs="Arial"/>
          <w:b/>
          <w:sz w:val="24"/>
          <w:szCs w:val="24"/>
        </w:rPr>
        <w:t xml:space="preserve">euda del </w:t>
      </w:r>
      <w:r>
        <w:rPr>
          <w:rFonts w:ascii="Arial" w:hAnsi="Arial" w:cs="Arial"/>
          <w:b/>
          <w:sz w:val="24"/>
          <w:szCs w:val="24"/>
        </w:rPr>
        <w:t>e</w:t>
      </w:r>
      <w:r w:rsidRPr="00044C7F">
        <w:rPr>
          <w:rFonts w:ascii="Arial" w:hAnsi="Arial" w:cs="Arial"/>
          <w:b/>
          <w:sz w:val="24"/>
          <w:szCs w:val="24"/>
        </w:rPr>
        <w:t>stado con otras entidades federativas</w:t>
      </w:r>
      <w:r>
        <w:rPr>
          <w:rFonts w:ascii="Arial" w:hAnsi="Arial" w:cs="Arial"/>
          <w:b/>
          <w:sz w:val="24"/>
          <w:szCs w:val="24"/>
        </w:rPr>
        <w:t>.</w:t>
      </w:r>
    </w:p>
    <w:p w:rsidR="00C9157F" w:rsidRPr="00044C7F" w:rsidRDefault="00C9157F" w:rsidP="00C9157F">
      <w:pPr>
        <w:pStyle w:val="Prrafodelista"/>
        <w:spacing w:before="100" w:beforeAutospacing="1" w:after="100" w:afterAutospacing="1" w:line="240" w:lineRule="auto"/>
        <w:ind w:left="0"/>
        <w:jc w:val="both"/>
        <w:rPr>
          <w:rFonts w:ascii="Arial" w:hAnsi="Arial" w:cs="Arial"/>
          <w:b/>
          <w:sz w:val="24"/>
          <w:szCs w:val="24"/>
        </w:rPr>
      </w:pPr>
    </w:p>
    <w:p w:rsidR="00C9157F" w:rsidRPr="00044C7F" w:rsidRDefault="00C9157F" w:rsidP="00C9157F">
      <w:pPr>
        <w:pStyle w:val="Prrafodelista"/>
        <w:spacing w:before="100" w:beforeAutospacing="1" w:after="100" w:afterAutospacing="1" w:line="240" w:lineRule="auto"/>
        <w:ind w:left="0"/>
        <w:jc w:val="both"/>
        <w:rPr>
          <w:rFonts w:ascii="Arial" w:hAnsi="Arial" w:cs="Arial"/>
          <w:sz w:val="24"/>
          <w:szCs w:val="24"/>
        </w:rPr>
      </w:pPr>
      <w:r w:rsidRPr="00044C7F">
        <w:rPr>
          <w:rFonts w:ascii="Arial" w:hAnsi="Arial" w:cs="Arial"/>
          <w:sz w:val="24"/>
          <w:szCs w:val="24"/>
        </w:rPr>
        <w:t xml:space="preserve">Como parte del análisis, se revisa la posición relativa del </w:t>
      </w:r>
      <w:r>
        <w:rPr>
          <w:rFonts w:ascii="Arial" w:hAnsi="Arial" w:cs="Arial"/>
          <w:sz w:val="24"/>
          <w:szCs w:val="24"/>
        </w:rPr>
        <w:t>e</w:t>
      </w:r>
      <w:r w:rsidRPr="00044C7F">
        <w:rPr>
          <w:rFonts w:ascii="Arial" w:hAnsi="Arial" w:cs="Arial"/>
          <w:sz w:val="24"/>
          <w:szCs w:val="24"/>
        </w:rPr>
        <w:t>stado de Yucatán respecto al resto de las entidades federativas en su nivel de endeudamiento conforme a la información disponible de la página electrónica del Registro  Público Único de Financiamientos y Obligaciones de Entidades Federativas y Municipios de la Secretaría de Hacienda y Crédito Público, correspondiente a la base de datos de estadísticas trimestrales al 1 de marzo de 2019.</w:t>
      </w:r>
    </w:p>
    <w:p w:rsidR="00C9157F" w:rsidRPr="00044C7F" w:rsidRDefault="00C9157F" w:rsidP="00C9157F">
      <w:pPr>
        <w:pStyle w:val="Prrafodelista"/>
        <w:spacing w:before="100" w:beforeAutospacing="1" w:after="100" w:afterAutospacing="1" w:line="240" w:lineRule="auto"/>
        <w:ind w:left="0"/>
        <w:jc w:val="both"/>
        <w:rPr>
          <w:rFonts w:ascii="Arial" w:hAnsi="Arial" w:cs="Arial"/>
          <w:sz w:val="24"/>
          <w:szCs w:val="24"/>
        </w:rPr>
      </w:pPr>
    </w:p>
    <w:p w:rsidR="00C9157F" w:rsidRPr="00044C7F" w:rsidRDefault="00C9157F" w:rsidP="00C9157F">
      <w:pPr>
        <w:pStyle w:val="Prrafodelista"/>
        <w:spacing w:before="100" w:beforeAutospacing="1" w:after="100" w:afterAutospacing="1" w:line="240" w:lineRule="auto"/>
        <w:ind w:left="0"/>
        <w:jc w:val="both"/>
        <w:rPr>
          <w:rFonts w:ascii="Arial" w:hAnsi="Arial" w:cs="Arial"/>
          <w:sz w:val="24"/>
          <w:szCs w:val="24"/>
        </w:rPr>
      </w:pPr>
      <w:r w:rsidRPr="00044C7F">
        <w:rPr>
          <w:rFonts w:ascii="Arial" w:hAnsi="Arial" w:cs="Arial"/>
          <w:sz w:val="24"/>
          <w:szCs w:val="24"/>
        </w:rPr>
        <w:t xml:space="preserve">Del análisis de indicadores se observa que el porcentaje de participaciones afectadas es menor en comparación con el promedio nacional, así mismo, el </w:t>
      </w:r>
      <w:r>
        <w:rPr>
          <w:rFonts w:ascii="Arial" w:hAnsi="Arial" w:cs="Arial"/>
          <w:sz w:val="24"/>
          <w:szCs w:val="24"/>
        </w:rPr>
        <w:t>e</w:t>
      </w:r>
      <w:r w:rsidRPr="00044C7F">
        <w:rPr>
          <w:rFonts w:ascii="Arial" w:hAnsi="Arial" w:cs="Arial"/>
          <w:sz w:val="24"/>
          <w:szCs w:val="24"/>
        </w:rPr>
        <w:t>stado de Yucatán es una de las entidades con menor nivel de endeudamiento respecto a sus participaciones federales. A</w:t>
      </w:r>
      <w:r>
        <w:rPr>
          <w:rFonts w:ascii="Arial" w:hAnsi="Arial" w:cs="Arial"/>
          <w:sz w:val="24"/>
          <w:szCs w:val="24"/>
        </w:rPr>
        <w:t>sí mismo, el saldo total de la d</w:t>
      </w:r>
      <w:r w:rsidRPr="00044C7F">
        <w:rPr>
          <w:rFonts w:ascii="Arial" w:hAnsi="Arial" w:cs="Arial"/>
          <w:sz w:val="24"/>
          <w:szCs w:val="24"/>
        </w:rPr>
        <w:t>eu</w:t>
      </w:r>
      <w:r>
        <w:rPr>
          <w:rFonts w:ascii="Arial" w:hAnsi="Arial" w:cs="Arial"/>
          <w:sz w:val="24"/>
          <w:szCs w:val="24"/>
        </w:rPr>
        <w:t>da p</w:t>
      </w:r>
      <w:r w:rsidRPr="00044C7F">
        <w:rPr>
          <w:rFonts w:ascii="Arial" w:hAnsi="Arial" w:cs="Arial"/>
          <w:sz w:val="24"/>
          <w:szCs w:val="24"/>
        </w:rPr>
        <w:t>ública como porcentaje de los ingresos totales representa un 14.4% actualmente, mientras que el promedio nacional es de 29%</w:t>
      </w:r>
      <w:r>
        <w:rPr>
          <w:rFonts w:ascii="Arial" w:hAnsi="Arial" w:cs="Arial"/>
          <w:sz w:val="24"/>
          <w:szCs w:val="24"/>
        </w:rPr>
        <w:t>.</w:t>
      </w:r>
    </w:p>
    <w:p w:rsidR="00C9157F" w:rsidRPr="00044C7F" w:rsidRDefault="00C9157F" w:rsidP="00C9157F">
      <w:pPr>
        <w:autoSpaceDE w:val="0"/>
        <w:autoSpaceDN w:val="0"/>
        <w:adjustRightInd w:val="0"/>
        <w:spacing w:before="100" w:beforeAutospacing="1" w:after="100" w:afterAutospacing="1" w:line="240" w:lineRule="auto"/>
        <w:jc w:val="center"/>
        <w:rPr>
          <w:rFonts w:ascii="Arial" w:eastAsia="Times New Roman" w:hAnsi="Arial" w:cs="Arial"/>
          <w:b/>
          <w:color w:val="000000"/>
          <w:sz w:val="24"/>
          <w:szCs w:val="24"/>
          <w:lang w:eastAsia="es-ES_tradnl"/>
        </w:rPr>
      </w:pPr>
      <w:r>
        <w:rPr>
          <w:rFonts w:ascii="Arial" w:eastAsia="Times New Roman" w:hAnsi="Arial" w:cs="Arial"/>
          <w:b/>
          <w:color w:val="000000"/>
          <w:sz w:val="24"/>
          <w:szCs w:val="24"/>
          <w:lang w:eastAsia="es-ES_tradnl"/>
        </w:rPr>
        <w:t>Tabla 3. Comparativo de i</w:t>
      </w:r>
      <w:r w:rsidRPr="00044C7F">
        <w:rPr>
          <w:rFonts w:ascii="Arial" w:eastAsia="Times New Roman" w:hAnsi="Arial" w:cs="Arial"/>
          <w:b/>
          <w:color w:val="000000"/>
          <w:sz w:val="24"/>
          <w:szCs w:val="24"/>
          <w:lang w:eastAsia="es-ES_tradnl"/>
        </w:rPr>
        <w:t xml:space="preserve">ndicadores de </w:t>
      </w:r>
      <w:r>
        <w:rPr>
          <w:rFonts w:ascii="Arial" w:eastAsia="Times New Roman" w:hAnsi="Arial" w:cs="Arial"/>
          <w:b/>
          <w:color w:val="000000"/>
          <w:sz w:val="24"/>
          <w:szCs w:val="24"/>
          <w:lang w:eastAsia="es-ES_tradnl"/>
        </w:rPr>
        <w:t>d</w:t>
      </w:r>
      <w:r w:rsidRPr="00044C7F">
        <w:rPr>
          <w:rFonts w:ascii="Arial" w:eastAsia="Times New Roman" w:hAnsi="Arial" w:cs="Arial"/>
          <w:b/>
          <w:color w:val="000000"/>
          <w:sz w:val="24"/>
          <w:szCs w:val="24"/>
          <w:lang w:eastAsia="es-ES_tradnl"/>
        </w:rPr>
        <w:t xml:space="preserve">euda </w:t>
      </w:r>
      <w:r>
        <w:rPr>
          <w:rFonts w:ascii="Arial" w:eastAsia="Times New Roman" w:hAnsi="Arial" w:cs="Arial"/>
          <w:b/>
          <w:color w:val="000000"/>
          <w:sz w:val="24"/>
          <w:szCs w:val="24"/>
          <w:lang w:eastAsia="es-ES_tradnl"/>
        </w:rPr>
        <w:t>p</w:t>
      </w:r>
      <w:r w:rsidRPr="00044C7F">
        <w:rPr>
          <w:rFonts w:ascii="Arial" w:eastAsia="Times New Roman" w:hAnsi="Arial" w:cs="Arial"/>
          <w:b/>
          <w:color w:val="000000"/>
          <w:sz w:val="24"/>
          <w:szCs w:val="24"/>
          <w:lang w:eastAsia="es-ES_tradnl"/>
        </w:rPr>
        <w:t>ública</w:t>
      </w:r>
    </w:p>
    <w:tbl>
      <w:tblPr>
        <w:tblStyle w:val="Tablaconcuadrcula"/>
        <w:tblW w:w="8828" w:type="dxa"/>
        <w:tblLook w:val="04A0" w:firstRow="1" w:lastRow="0" w:firstColumn="1" w:lastColumn="0" w:noHBand="0" w:noVBand="1"/>
      </w:tblPr>
      <w:tblGrid>
        <w:gridCol w:w="6653"/>
        <w:gridCol w:w="989"/>
        <w:gridCol w:w="1186"/>
      </w:tblGrid>
      <w:tr w:rsidR="00C9157F" w:rsidRPr="00044C7F" w:rsidTr="00CA6590">
        <w:trPr>
          <w:trHeight w:val="840"/>
        </w:trPr>
        <w:tc>
          <w:tcPr>
            <w:tcW w:w="6706" w:type="dxa"/>
            <w:shd w:val="clear" w:color="auto" w:fill="000000" w:themeFill="text1"/>
            <w:hideMark/>
          </w:tcPr>
          <w:p w:rsidR="00C9157F" w:rsidRPr="001E7FF4" w:rsidRDefault="00C9157F" w:rsidP="00CA6590">
            <w:pPr>
              <w:spacing w:before="100" w:beforeAutospacing="1" w:after="100" w:afterAutospacing="1"/>
              <w:jc w:val="center"/>
              <w:rPr>
                <w:rFonts w:ascii="Arial" w:eastAsia="Times New Roman" w:hAnsi="Arial" w:cs="Arial"/>
                <w:b/>
                <w:bCs/>
                <w:color w:val="FFFFFF" w:themeColor="background1"/>
                <w:sz w:val="20"/>
                <w:szCs w:val="20"/>
                <w:lang w:eastAsia="es-MX"/>
              </w:rPr>
            </w:pPr>
            <w:r w:rsidRPr="001E7FF4">
              <w:rPr>
                <w:rFonts w:ascii="Arial" w:eastAsia="Times New Roman" w:hAnsi="Arial" w:cs="Arial"/>
                <w:b/>
                <w:bCs/>
                <w:color w:val="FFFFFF" w:themeColor="background1"/>
                <w:sz w:val="20"/>
                <w:szCs w:val="20"/>
                <w:lang w:eastAsia="es-MX"/>
              </w:rPr>
              <w:t>Medida</w:t>
            </w:r>
          </w:p>
        </w:tc>
        <w:tc>
          <w:tcPr>
            <w:tcW w:w="995" w:type="dxa"/>
            <w:shd w:val="clear" w:color="auto" w:fill="000000" w:themeFill="text1"/>
            <w:hideMark/>
          </w:tcPr>
          <w:p w:rsidR="00C9157F" w:rsidRPr="001E7FF4" w:rsidRDefault="00C9157F" w:rsidP="00CA6590">
            <w:pPr>
              <w:spacing w:before="100" w:beforeAutospacing="1" w:after="100" w:afterAutospacing="1"/>
              <w:jc w:val="center"/>
              <w:rPr>
                <w:rFonts w:ascii="Arial" w:eastAsia="Times New Roman" w:hAnsi="Arial" w:cs="Arial"/>
                <w:b/>
                <w:bCs/>
                <w:color w:val="FFFFFF" w:themeColor="background1"/>
                <w:sz w:val="20"/>
                <w:szCs w:val="20"/>
                <w:lang w:eastAsia="es-MX"/>
              </w:rPr>
            </w:pPr>
            <w:r w:rsidRPr="001E7FF4">
              <w:rPr>
                <w:rFonts w:ascii="Arial" w:eastAsia="Times New Roman" w:hAnsi="Arial" w:cs="Arial"/>
                <w:b/>
                <w:bCs/>
                <w:color w:val="FFFFFF" w:themeColor="background1"/>
                <w:sz w:val="20"/>
                <w:szCs w:val="20"/>
                <w:lang w:eastAsia="es-MX"/>
              </w:rPr>
              <w:t>Yucatán</w:t>
            </w:r>
          </w:p>
        </w:tc>
        <w:tc>
          <w:tcPr>
            <w:tcW w:w="1127" w:type="dxa"/>
            <w:shd w:val="clear" w:color="auto" w:fill="000000" w:themeFill="text1"/>
            <w:hideMark/>
          </w:tcPr>
          <w:p w:rsidR="00C9157F" w:rsidRPr="001E7FF4" w:rsidRDefault="00C9157F" w:rsidP="00CA6590">
            <w:pPr>
              <w:spacing w:before="100" w:beforeAutospacing="1" w:after="100" w:afterAutospacing="1"/>
              <w:jc w:val="center"/>
              <w:rPr>
                <w:rFonts w:ascii="Arial" w:eastAsia="Times New Roman" w:hAnsi="Arial" w:cs="Arial"/>
                <w:b/>
                <w:bCs/>
                <w:color w:val="FFFFFF" w:themeColor="background1"/>
                <w:sz w:val="20"/>
                <w:szCs w:val="20"/>
                <w:lang w:eastAsia="es-MX"/>
              </w:rPr>
            </w:pPr>
            <w:r w:rsidRPr="001E7FF4">
              <w:rPr>
                <w:rFonts w:ascii="Arial" w:eastAsia="Times New Roman" w:hAnsi="Arial" w:cs="Arial"/>
                <w:b/>
                <w:bCs/>
                <w:color w:val="FFFFFF" w:themeColor="background1"/>
                <w:sz w:val="20"/>
                <w:szCs w:val="20"/>
                <w:lang w:eastAsia="es-MX"/>
              </w:rPr>
              <w:t>Promedio/</w:t>
            </w:r>
          </w:p>
          <w:p w:rsidR="00C9157F" w:rsidRPr="001E7FF4" w:rsidRDefault="00C9157F" w:rsidP="00CA6590">
            <w:pPr>
              <w:spacing w:before="100" w:beforeAutospacing="1" w:after="100" w:afterAutospacing="1"/>
              <w:jc w:val="center"/>
              <w:rPr>
                <w:rFonts w:ascii="Arial" w:eastAsia="Times New Roman" w:hAnsi="Arial" w:cs="Arial"/>
                <w:b/>
                <w:bCs/>
                <w:color w:val="FFFFFF" w:themeColor="background1"/>
                <w:sz w:val="20"/>
                <w:szCs w:val="20"/>
                <w:lang w:eastAsia="es-MX"/>
              </w:rPr>
            </w:pPr>
            <w:r w:rsidRPr="001E7FF4">
              <w:rPr>
                <w:rFonts w:ascii="Arial" w:eastAsia="Times New Roman" w:hAnsi="Arial" w:cs="Arial"/>
                <w:b/>
                <w:bCs/>
                <w:color w:val="FFFFFF" w:themeColor="background1"/>
                <w:sz w:val="20"/>
                <w:szCs w:val="20"/>
                <w:lang w:eastAsia="es-MX"/>
              </w:rPr>
              <w:t>mediana nacional</w:t>
            </w:r>
          </w:p>
        </w:tc>
      </w:tr>
      <w:tr w:rsidR="00C9157F" w:rsidRPr="00044C7F" w:rsidTr="00CA6590">
        <w:trPr>
          <w:trHeight w:val="288"/>
        </w:trPr>
        <w:tc>
          <w:tcPr>
            <w:tcW w:w="6706" w:type="dxa"/>
            <w:hideMark/>
          </w:tcPr>
          <w:p w:rsidR="00C9157F" w:rsidRPr="001E7FF4" w:rsidRDefault="00C9157F" w:rsidP="00CA6590">
            <w:pPr>
              <w:spacing w:before="100" w:beforeAutospacing="1" w:after="100" w:afterAutospacing="1"/>
              <w:rPr>
                <w:rFonts w:ascii="Arial" w:eastAsia="Times New Roman" w:hAnsi="Arial" w:cs="Arial"/>
                <w:sz w:val="20"/>
                <w:szCs w:val="20"/>
                <w:lang w:eastAsia="es-MX"/>
              </w:rPr>
            </w:pPr>
            <w:r w:rsidRPr="001E7FF4">
              <w:rPr>
                <w:rFonts w:ascii="Arial" w:eastAsia="Times New Roman" w:hAnsi="Arial" w:cs="Arial"/>
                <w:sz w:val="20"/>
                <w:szCs w:val="20"/>
                <w:lang w:eastAsia="es-MX"/>
              </w:rPr>
              <w:t xml:space="preserve">Porcentaje de participaciones </w:t>
            </w:r>
            <w:r>
              <w:rPr>
                <w:rFonts w:ascii="Arial" w:eastAsia="Times New Roman" w:hAnsi="Arial" w:cs="Arial"/>
                <w:sz w:val="20"/>
                <w:szCs w:val="20"/>
                <w:lang w:eastAsia="es-MX"/>
              </w:rPr>
              <w:t>afectado por el g</w:t>
            </w:r>
            <w:r w:rsidRPr="001E7FF4">
              <w:rPr>
                <w:rFonts w:ascii="Arial" w:eastAsia="Times New Roman" w:hAnsi="Arial" w:cs="Arial"/>
                <w:sz w:val="20"/>
                <w:szCs w:val="20"/>
                <w:lang w:eastAsia="es-MX"/>
              </w:rPr>
              <w:t xml:space="preserve">obierno de la </w:t>
            </w:r>
            <w:r>
              <w:rPr>
                <w:rFonts w:ascii="Arial" w:eastAsia="Times New Roman" w:hAnsi="Arial" w:cs="Arial"/>
                <w:sz w:val="20"/>
                <w:szCs w:val="20"/>
                <w:lang w:eastAsia="es-MX"/>
              </w:rPr>
              <w:t>e</w:t>
            </w:r>
            <w:r w:rsidRPr="001E7FF4">
              <w:rPr>
                <w:rFonts w:ascii="Arial" w:eastAsia="Times New Roman" w:hAnsi="Arial" w:cs="Arial"/>
                <w:sz w:val="20"/>
                <w:szCs w:val="20"/>
                <w:lang w:eastAsia="es-MX"/>
              </w:rPr>
              <w:t>ntidad</w:t>
            </w:r>
            <w:r w:rsidRPr="001E7FF4">
              <w:rPr>
                <w:rStyle w:val="Refdenotaalpie"/>
                <w:rFonts w:ascii="Arial" w:hAnsi="Arial" w:cs="Arial"/>
                <w:sz w:val="20"/>
                <w:szCs w:val="20"/>
                <w:lang w:eastAsia="es-MX"/>
              </w:rPr>
              <w:footnoteReference w:id="1"/>
            </w:r>
          </w:p>
        </w:tc>
        <w:tc>
          <w:tcPr>
            <w:tcW w:w="995" w:type="dxa"/>
            <w:noWrap/>
            <w:hideMark/>
          </w:tcPr>
          <w:p w:rsidR="00C9157F" w:rsidRPr="001E7FF4" w:rsidRDefault="00C9157F" w:rsidP="00CA6590">
            <w:pPr>
              <w:spacing w:before="100" w:beforeAutospacing="1" w:after="100" w:afterAutospacing="1"/>
              <w:jc w:val="right"/>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32.1%</w:t>
            </w:r>
          </w:p>
        </w:tc>
        <w:tc>
          <w:tcPr>
            <w:tcW w:w="1127" w:type="dxa"/>
            <w:noWrap/>
            <w:hideMark/>
          </w:tcPr>
          <w:p w:rsidR="00C9157F" w:rsidRPr="001E7FF4" w:rsidRDefault="00C9157F" w:rsidP="00CA6590">
            <w:pPr>
              <w:spacing w:before="100" w:beforeAutospacing="1" w:after="100" w:afterAutospacing="1"/>
              <w:jc w:val="right"/>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52.9%</w:t>
            </w:r>
          </w:p>
        </w:tc>
      </w:tr>
      <w:tr w:rsidR="00C9157F" w:rsidRPr="00044C7F" w:rsidTr="00CA6590">
        <w:trPr>
          <w:trHeight w:val="288"/>
        </w:trPr>
        <w:tc>
          <w:tcPr>
            <w:tcW w:w="6706" w:type="dxa"/>
            <w:noWrap/>
            <w:hideMark/>
          </w:tcPr>
          <w:p w:rsidR="00C9157F" w:rsidRPr="001E7FF4" w:rsidRDefault="00C9157F" w:rsidP="00CA6590">
            <w:pPr>
              <w:spacing w:before="100" w:beforeAutospacing="1" w:after="100" w:afterAutospacing="1"/>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Deuda / Participaciones</w:t>
            </w:r>
          </w:p>
        </w:tc>
        <w:tc>
          <w:tcPr>
            <w:tcW w:w="995" w:type="dxa"/>
            <w:noWrap/>
            <w:hideMark/>
          </w:tcPr>
          <w:p w:rsidR="00C9157F" w:rsidRPr="001E7FF4" w:rsidRDefault="00C9157F" w:rsidP="00CA6590">
            <w:pPr>
              <w:spacing w:before="100" w:beforeAutospacing="1" w:after="100" w:afterAutospacing="1"/>
              <w:jc w:val="right"/>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30.9%</w:t>
            </w:r>
          </w:p>
        </w:tc>
        <w:tc>
          <w:tcPr>
            <w:tcW w:w="1127" w:type="dxa"/>
            <w:noWrap/>
            <w:hideMark/>
          </w:tcPr>
          <w:p w:rsidR="00C9157F" w:rsidRPr="001E7FF4" w:rsidRDefault="00C9157F" w:rsidP="00CA6590">
            <w:pPr>
              <w:spacing w:before="100" w:beforeAutospacing="1" w:after="100" w:afterAutospacing="1"/>
              <w:jc w:val="right"/>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65.8%</w:t>
            </w:r>
          </w:p>
        </w:tc>
      </w:tr>
      <w:tr w:rsidR="00C9157F" w:rsidRPr="00044C7F" w:rsidTr="00CA6590">
        <w:trPr>
          <w:trHeight w:val="288"/>
        </w:trPr>
        <w:tc>
          <w:tcPr>
            <w:tcW w:w="6706" w:type="dxa"/>
            <w:noWrap/>
            <w:hideMark/>
          </w:tcPr>
          <w:p w:rsidR="00C9157F" w:rsidRPr="001E7FF4" w:rsidRDefault="00C9157F" w:rsidP="00CA6590">
            <w:pPr>
              <w:spacing w:before="100" w:beforeAutospacing="1" w:after="100" w:afterAutospacing="1"/>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Deuda / Ingresos totales</w:t>
            </w:r>
          </w:p>
        </w:tc>
        <w:tc>
          <w:tcPr>
            <w:tcW w:w="995" w:type="dxa"/>
            <w:noWrap/>
            <w:hideMark/>
          </w:tcPr>
          <w:p w:rsidR="00C9157F" w:rsidRPr="001E7FF4" w:rsidRDefault="00C9157F" w:rsidP="00CA6590">
            <w:pPr>
              <w:spacing w:before="100" w:beforeAutospacing="1" w:after="100" w:afterAutospacing="1"/>
              <w:jc w:val="right"/>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14.4%</w:t>
            </w:r>
          </w:p>
        </w:tc>
        <w:tc>
          <w:tcPr>
            <w:tcW w:w="1127" w:type="dxa"/>
            <w:noWrap/>
            <w:hideMark/>
          </w:tcPr>
          <w:p w:rsidR="00C9157F" w:rsidRPr="001E7FF4" w:rsidRDefault="00C9157F" w:rsidP="00CA6590">
            <w:pPr>
              <w:spacing w:before="100" w:beforeAutospacing="1" w:after="100" w:afterAutospacing="1"/>
              <w:jc w:val="right"/>
              <w:rPr>
                <w:rFonts w:ascii="Arial" w:eastAsia="Times New Roman" w:hAnsi="Arial" w:cs="Arial"/>
                <w:color w:val="000000"/>
                <w:sz w:val="20"/>
                <w:szCs w:val="20"/>
                <w:lang w:eastAsia="es-MX"/>
              </w:rPr>
            </w:pPr>
            <w:r w:rsidRPr="001E7FF4">
              <w:rPr>
                <w:rFonts w:ascii="Arial" w:eastAsia="Times New Roman" w:hAnsi="Arial" w:cs="Arial"/>
                <w:color w:val="000000"/>
                <w:sz w:val="20"/>
                <w:szCs w:val="20"/>
                <w:lang w:eastAsia="es-MX"/>
              </w:rPr>
              <w:t>29%</w:t>
            </w:r>
          </w:p>
        </w:tc>
      </w:tr>
    </w:tbl>
    <w:p w:rsidR="00C9157F" w:rsidRPr="001E7FF4" w:rsidRDefault="00C9157F" w:rsidP="00C9157F">
      <w:pPr>
        <w:autoSpaceDE w:val="0"/>
        <w:autoSpaceDN w:val="0"/>
        <w:adjustRightInd w:val="0"/>
        <w:spacing w:before="100" w:beforeAutospacing="1" w:after="100" w:afterAutospacing="1" w:line="240" w:lineRule="auto"/>
        <w:jc w:val="both"/>
        <w:rPr>
          <w:rFonts w:ascii="Arial" w:hAnsi="Arial" w:cs="Arial"/>
          <w:b/>
          <w:sz w:val="20"/>
          <w:szCs w:val="20"/>
        </w:rPr>
      </w:pPr>
      <w:r w:rsidRPr="001E7FF4">
        <w:rPr>
          <w:rFonts w:ascii="Arial" w:eastAsia="Times New Roman" w:hAnsi="Arial" w:cs="Arial"/>
          <w:color w:val="000000"/>
          <w:sz w:val="20"/>
          <w:szCs w:val="20"/>
          <w:lang w:eastAsia="es-ES_tradnl"/>
        </w:rPr>
        <w:t>Fuente: RPU SHCP</w:t>
      </w:r>
    </w:p>
    <w:p w:rsidR="00C9157F" w:rsidRPr="00044C7F" w:rsidRDefault="00C9157F" w:rsidP="00C9157F">
      <w:pPr>
        <w:pStyle w:val="Prrafodelista"/>
        <w:spacing w:before="100" w:beforeAutospacing="1" w:after="100" w:afterAutospacing="1" w:line="240" w:lineRule="auto"/>
        <w:ind w:left="0" w:firstLine="709"/>
        <w:jc w:val="both"/>
        <w:rPr>
          <w:rFonts w:ascii="Arial" w:hAnsi="Arial" w:cs="Arial"/>
          <w:b/>
          <w:sz w:val="24"/>
          <w:szCs w:val="24"/>
        </w:rPr>
      </w:pPr>
      <w:r>
        <w:rPr>
          <w:rFonts w:ascii="Arial" w:hAnsi="Arial" w:cs="Arial"/>
          <w:b/>
          <w:sz w:val="24"/>
          <w:szCs w:val="24"/>
        </w:rPr>
        <w:t xml:space="preserve">V. </w:t>
      </w:r>
      <w:r w:rsidRPr="00044C7F">
        <w:rPr>
          <w:rFonts w:ascii="Arial" w:hAnsi="Arial" w:cs="Arial"/>
          <w:b/>
          <w:sz w:val="24"/>
          <w:szCs w:val="24"/>
        </w:rPr>
        <w:t xml:space="preserve">Análisis del otorgamiento de recursos como fuente o garantía de pago y </w:t>
      </w:r>
      <w:r>
        <w:rPr>
          <w:rFonts w:ascii="Arial" w:hAnsi="Arial" w:cs="Arial"/>
          <w:b/>
          <w:sz w:val="24"/>
          <w:szCs w:val="24"/>
        </w:rPr>
        <w:t xml:space="preserve">del </w:t>
      </w:r>
      <w:r w:rsidRPr="00044C7F">
        <w:rPr>
          <w:rFonts w:ascii="Arial" w:hAnsi="Arial" w:cs="Arial"/>
          <w:b/>
          <w:sz w:val="24"/>
          <w:szCs w:val="24"/>
        </w:rPr>
        <w:t>destino del financiamiento</w:t>
      </w:r>
      <w:r>
        <w:rPr>
          <w:rFonts w:ascii="Arial" w:hAnsi="Arial" w:cs="Arial"/>
          <w:b/>
          <w:sz w:val="24"/>
          <w:szCs w:val="24"/>
        </w:rPr>
        <w:t>.</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En esta sección se presenta un análisis sobre el otorgamiento de recursos como fuente o garantía de pago en los términos de la normatividad aplicable en materia de disciplina financiera.</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El análisis muestra una proyección de las participaciones federales de la enti</w:t>
      </w:r>
      <w:r>
        <w:rPr>
          <w:rFonts w:ascii="Arial" w:hAnsi="Arial" w:cs="Arial"/>
          <w:sz w:val="24"/>
          <w:szCs w:val="24"/>
        </w:rPr>
        <w:t>dad tal como se presenta en el a</w:t>
      </w:r>
      <w:r w:rsidRPr="00044C7F">
        <w:rPr>
          <w:rFonts w:ascii="Arial" w:hAnsi="Arial" w:cs="Arial"/>
          <w:sz w:val="24"/>
          <w:szCs w:val="24"/>
        </w:rPr>
        <w:t>nexo I de la Ley de Ingresos para el ejercicio 2019. La proyección del servicio de la deuda garantizada con participaciones federales parte del monto de egresos destinado al pago del servicio de la</w:t>
      </w:r>
      <w:r>
        <w:rPr>
          <w:rFonts w:ascii="Arial" w:hAnsi="Arial" w:cs="Arial"/>
          <w:sz w:val="24"/>
          <w:szCs w:val="24"/>
        </w:rPr>
        <w:t xml:space="preserve"> deuda de los créditos n</w:t>
      </w:r>
      <w:r w:rsidRPr="00044C7F">
        <w:rPr>
          <w:rFonts w:ascii="Arial" w:hAnsi="Arial" w:cs="Arial"/>
          <w:sz w:val="24"/>
          <w:szCs w:val="24"/>
        </w:rPr>
        <w:t>o. 9940, 11245, 110130 y 11242, todos contratados con el Banco Nacional de Obras y Servicios Públicos.</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 xml:space="preserve">Derivado de lo anterior, se observa que actualmente la cobertura de las participaciones federales respecto al pago de la deuda es 45.72 veces el pago de la deuda y esta crece hasta 55.61 en 2024. </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sz w:val="24"/>
          <w:szCs w:val="24"/>
        </w:rPr>
        <w:t>Al considerar en la proyección la contratación de un financiamiento hasta por 2,620 mdp, el servicio de deuda garantizado con participaciones federale</w:t>
      </w:r>
      <w:r>
        <w:rPr>
          <w:rFonts w:ascii="Arial" w:hAnsi="Arial" w:cs="Arial"/>
          <w:sz w:val="24"/>
          <w:szCs w:val="24"/>
        </w:rPr>
        <w:t>s se incrementaría de acuerdo con lo presentado en la t</w:t>
      </w:r>
      <w:r w:rsidRPr="00044C7F">
        <w:rPr>
          <w:rFonts w:ascii="Arial" w:hAnsi="Arial" w:cs="Arial"/>
          <w:sz w:val="24"/>
          <w:szCs w:val="24"/>
        </w:rPr>
        <w:t>abla 4. Por su parte la cobertura de participaciones federales respecto del pago de la deuda pública se ubicaría en 35.02 en el primer año. Estas proyecciones muestran un nivel sustentable de endeudamiento y la capacidad  para utilizar las participaciones federales como fuente de pago de un financiamiento hasta por 2,620 mdp.</w:t>
      </w:r>
    </w:p>
    <w:p w:rsidR="00C9157F" w:rsidRPr="00044C7F" w:rsidRDefault="00C9157F" w:rsidP="00C9157F">
      <w:pPr>
        <w:spacing w:before="100" w:beforeAutospacing="1" w:after="100" w:afterAutospacing="1" w:line="240" w:lineRule="auto"/>
        <w:jc w:val="center"/>
        <w:rPr>
          <w:rFonts w:ascii="Arial" w:hAnsi="Arial" w:cs="Arial"/>
          <w:b/>
          <w:sz w:val="24"/>
          <w:szCs w:val="24"/>
        </w:rPr>
      </w:pPr>
      <w:r w:rsidRPr="00044C7F">
        <w:rPr>
          <w:rFonts w:ascii="Arial" w:hAnsi="Arial" w:cs="Arial"/>
          <w:b/>
          <w:sz w:val="24"/>
          <w:szCs w:val="24"/>
        </w:rPr>
        <w:t>Tabla 4. Cobertura de Participaciones Federales</w:t>
      </w:r>
    </w:p>
    <w:p w:rsidR="00C9157F" w:rsidRPr="00044C7F" w:rsidRDefault="00C9157F" w:rsidP="00C9157F">
      <w:pPr>
        <w:spacing w:before="100" w:beforeAutospacing="1" w:after="100" w:afterAutospacing="1" w:line="240" w:lineRule="auto"/>
        <w:jc w:val="both"/>
        <w:rPr>
          <w:rFonts w:ascii="Arial" w:hAnsi="Arial" w:cs="Arial"/>
          <w:sz w:val="24"/>
          <w:szCs w:val="24"/>
        </w:rPr>
      </w:pPr>
      <w:r w:rsidRPr="00044C7F">
        <w:rPr>
          <w:rFonts w:ascii="Arial" w:hAnsi="Arial" w:cs="Arial"/>
          <w:noProof/>
          <w:sz w:val="24"/>
          <w:szCs w:val="24"/>
          <w:lang w:eastAsia="es-MX"/>
        </w:rPr>
        <w:drawing>
          <wp:inline distT="0" distB="0" distL="0" distR="0" wp14:anchorId="14776759" wp14:editId="43C48A3D">
            <wp:extent cx="5605780" cy="159004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5605780" cy="1590040"/>
                    </a:xfrm>
                    <a:prstGeom prst="rect">
                      <a:avLst/>
                    </a:prstGeom>
                    <a:noFill/>
                    <a:ln>
                      <a:noFill/>
                    </a:ln>
                  </pic:spPr>
                </pic:pic>
              </a:graphicData>
            </a:graphic>
          </wp:inline>
        </w:drawing>
      </w:r>
    </w:p>
    <w:p w:rsidR="00C9157F" w:rsidRDefault="00C9157F" w:rsidP="00C9157F">
      <w:pPr>
        <w:pStyle w:val="Prrafodelista"/>
        <w:spacing w:before="100" w:beforeAutospacing="1" w:after="100" w:afterAutospacing="1" w:line="240" w:lineRule="auto"/>
        <w:ind w:left="0" w:firstLine="709"/>
        <w:rPr>
          <w:rFonts w:ascii="Arial" w:hAnsi="Arial" w:cs="Arial"/>
          <w:b/>
          <w:sz w:val="24"/>
          <w:szCs w:val="24"/>
        </w:rPr>
      </w:pPr>
    </w:p>
    <w:p w:rsidR="00C9157F" w:rsidRDefault="00C9157F" w:rsidP="00C9157F">
      <w:pPr>
        <w:pStyle w:val="Prrafodelista"/>
        <w:spacing w:before="100" w:beforeAutospacing="1" w:after="100" w:afterAutospacing="1" w:line="240" w:lineRule="auto"/>
        <w:ind w:left="0" w:firstLine="709"/>
        <w:rPr>
          <w:rFonts w:ascii="Arial" w:hAnsi="Arial" w:cs="Arial"/>
          <w:b/>
          <w:sz w:val="24"/>
          <w:szCs w:val="24"/>
        </w:rPr>
      </w:pPr>
      <w:r>
        <w:rPr>
          <w:rFonts w:ascii="Arial" w:hAnsi="Arial" w:cs="Arial"/>
          <w:b/>
          <w:sz w:val="24"/>
          <w:szCs w:val="24"/>
        </w:rPr>
        <w:t>VI. Destino del f</w:t>
      </w:r>
      <w:r w:rsidRPr="00044C7F">
        <w:rPr>
          <w:rFonts w:ascii="Arial" w:hAnsi="Arial" w:cs="Arial"/>
          <w:b/>
          <w:sz w:val="24"/>
          <w:szCs w:val="24"/>
        </w:rPr>
        <w:t>inanciamiento</w:t>
      </w:r>
      <w:r>
        <w:rPr>
          <w:rFonts w:ascii="Arial" w:hAnsi="Arial" w:cs="Arial"/>
          <w:b/>
          <w:sz w:val="24"/>
          <w:szCs w:val="24"/>
        </w:rPr>
        <w:t>.</w:t>
      </w:r>
    </w:p>
    <w:p w:rsidR="00C9157F" w:rsidRPr="00044C7F" w:rsidRDefault="00C9157F" w:rsidP="00C9157F">
      <w:pPr>
        <w:pStyle w:val="Prrafodelista"/>
        <w:spacing w:before="100" w:beforeAutospacing="1" w:after="100" w:afterAutospacing="1" w:line="240" w:lineRule="auto"/>
        <w:ind w:left="0" w:firstLine="709"/>
        <w:rPr>
          <w:rFonts w:ascii="Arial" w:hAnsi="Arial" w:cs="Arial"/>
          <w:b/>
          <w:sz w:val="24"/>
          <w:szCs w:val="24"/>
        </w:rPr>
      </w:pPr>
    </w:p>
    <w:p w:rsidR="00C9157F" w:rsidRPr="00044C7F" w:rsidRDefault="00C9157F" w:rsidP="00C9157F">
      <w:pPr>
        <w:pStyle w:val="Prrafodelista"/>
        <w:spacing w:before="100" w:beforeAutospacing="1" w:after="100" w:afterAutospacing="1" w:line="240" w:lineRule="auto"/>
        <w:ind w:left="0" w:firstLine="709"/>
        <w:jc w:val="both"/>
        <w:rPr>
          <w:rFonts w:ascii="Arial" w:hAnsi="Arial" w:cs="Arial"/>
          <w:b/>
          <w:sz w:val="24"/>
          <w:szCs w:val="24"/>
        </w:rPr>
      </w:pPr>
      <w:r w:rsidRPr="00044C7F">
        <w:rPr>
          <w:rFonts w:ascii="Arial" w:hAnsi="Arial" w:cs="Arial"/>
          <w:sz w:val="24"/>
          <w:szCs w:val="24"/>
        </w:rPr>
        <w:t xml:space="preserve">Los recursos que se obtengan del </w:t>
      </w:r>
      <w:r>
        <w:rPr>
          <w:rFonts w:ascii="Arial" w:hAnsi="Arial" w:cs="Arial"/>
          <w:sz w:val="24"/>
          <w:szCs w:val="24"/>
        </w:rPr>
        <w:t>f</w:t>
      </w:r>
      <w:r w:rsidRPr="00044C7F">
        <w:rPr>
          <w:rFonts w:ascii="Arial" w:hAnsi="Arial" w:cs="Arial"/>
          <w:sz w:val="24"/>
          <w:szCs w:val="24"/>
        </w:rPr>
        <w:t>inanciamient</w:t>
      </w:r>
      <w:r>
        <w:rPr>
          <w:rFonts w:ascii="Arial" w:hAnsi="Arial" w:cs="Arial"/>
          <w:sz w:val="24"/>
          <w:szCs w:val="24"/>
        </w:rPr>
        <w:t>o se destinarán al proyecto de S</w:t>
      </w:r>
      <w:r w:rsidRPr="00044C7F">
        <w:rPr>
          <w:rFonts w:ascii="Arial" w:hAnsi="Arial" w:cs="Arial"/>
          <w:sz w:val="24"/>
          <w:szCs w:val="24"/>
        </w:rPr>
        <w:t xml:space="preserve">olución Integral de Enlace y Monitoreo de Seguridad y Videovigilancia Urbana para el Estado de Yucatán, así como para los gastos y costos asociados al </w:t>
      </w:r>
      <w:r>
        <w:rPr>
          <w:rFonts w:ascii="Arial" w:hAnsi="Arial" w:cs="Arial"/>
          <w:sz w:val="24"/>
          <w:szCs w:val="24"/>
        </w:rPr>
        <w:t>f</w:t>
      </w:r>
      <w:r w:rsidRPr="00044C7F">
        <w:rPr>
          <w:rFonts w:ascii="Arial" w:hAnsi="Arial" w:cs="Arial"/>
          <w:sz w:val="24"/>
          <w:szCs w:val="24"/>
        </w:rPr>
        <w:t>inanciamiento, mismos que no deberán exceder del 2.5% del monto total contratado.</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Pr>
          <w:rFonts w:ascii="Arial" w:hAnsi="Arial" w:cs="Arial"/>
          <w:sz w:val="24"/>
          <w:szCs w:val="24"/>
        </w:rPr>
        <w:t>Asi</w:t>
      </w:r>
      <w:r w:rsidRPr="00044C7F">
        <w:rPr>
          <w:rFonts w:ascii="Arial" w:hAnsi="Arial" w:cs="Arial"/>
          <w:sz w:val="24"/>
          <w:szCs w:val="24"/>
        </w:rPr>
        <w:t>mismo, con la finalidad de transparentar el ejercicio de los recursos del Financiamiento, estos se administrarán a través de un Fideicomiso Público de Administración y Pago.</w:t>
      </w:r>
    </w:p>
    <w:p w:rsidR="00C9157F" w:rsidRPr="00044C7F" w:rsidRDefault="00C9157F" w:rsidP="00C9157F">
      <w:pPr>
        <w:spacing w:before="100" w:beforeAutospacing="1" w:after="100" w:afterAutospacing="1" w:line="240" w:lineRule="auto"/>
        <w:ind w:firstLine="709"/>
        <w:jc w:val="both"/>
        <w:rPr>
          <w:rFonts w:ascii="Arial" w:hAnsi="Arial" w:cs="Arial"/>
          <w:sz w:val="24"/>
          <w:szCs w:val="24"/>
        </w:rPr>
      </w:pPr>
      <w:r w:rsidRPr="00044C7F">
        <w:rPr>
          <w:rFonts w:ascii="Arial" w:hAnsi="Arial" w:cs="Arial"/>
          <w:b/>
          <w:sz w:val="24"/>
          <w:szCs w:val="24"/>
        </w:rPr>
        <w:t>VII. Sistema de Alertas</w:t>
      </w:r>
      <w:r>
        <w:rPr>
          <w:rFonts w:ascii="Arial" w:hAnsi="Arial" w:cs="Arial"/>
          <w:b/>
          <w:sz w:val="24"/>
          <w:szCs w:val="24"/>
        </w:rPr>
        <w:t>.</w:t>
      </w:r>
    </w:p>
    <w:p w:rsidR="00C9157F" w:rsidRDefault="00C9157F" w:rsidP="00C9157F">
      <w:pPr>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De acuerdo </w:t>
      </w:r>
      <w:r>
        <w:rPr>
          <w:rFonts w:ascii="Arial" w:hAnsi="Arial" w:cs="Arial"/>
          <w:sz w:val="24"/>
          <w:szCs w:val="24"/>
        </w:rPr>
        <w:t>con</w:t>
      </w:r>
      <w:r w:rsidRPr="00044C7F">
        <w:rPr>
          <w:rFonts w:ascii="Arial" w:hAnsi="Arial" w:cs="Arial"/>
          <w:sz w:val="24"/>
          <w:szCs w:val="24"/>
        </w:rPr>
        <w:t xml:space="preserve"> la última evaluación trimestral realizada por el Sistema de Alertas, Yucatán se encuentra ubicado en u</w:t>
      </w:r>
      <w:r>
        <w:rPr>
          <w:rFonts w:ascii="Arial" w:hAnsi="Arial" w:cs="Arial"/>
          <w:sz w:val="24"/>
          <w:szCs w:val="24"/>
        </w:rPr>
        <w:t>n n</w:t>
      </w:r>
      <w:r w:rsidRPr="00044C7F">
        <w:rPr>
          <w:rFonts w:ascii="Arial" w:hAnsi="Arial" w:cs="Arial"/>
          <w:sz w:val="24"/>
          <w:szCs w:val="24"/>
        </w:rPr>
        <w:t>i</w:t>
      </w:r>
      <w:r>
        <w:rPr>
          <w:rFonts w:ascii="Arial" w:hAnsi="Arial" w:cs="Arial"/>
          <w:sz w:val="24"/>
          <w:szCs w:val="24"/>
        </w:rPr>
        <w:t>vel de endeudamiento s</w:t>
      </w:r>
      <w:r w:rsidRPr="00044C7F">
        <w:rPr>
          <w:rFonts w:ascii="Arial" w:hAnsi="Arial" w:cs="Arial"/>
          <w:sz w:val="24"/>
          <w:szCs w:val="24"/>
        </w:rPr>
        <w:t>ostenible. A continuación se presentan los resultados obtenidos para cada uno de los indicadores establecidos en la medición:</w:t>
      </w:r>
    </w:p>
    <w:p w:rsidR="00C9157F" w:rsidRPr="00044C7F" w:rsidRDefault="00C9157F" w:rsidP="00C9157F">
      <w:pPr>
        <w:spacing w:before="100" w:beforeAutospacing="1" w:after="100" w:afterAutospacing="1" w:line="240" w:lineRule="auto"/>
        <w:jc w:val="center"/>
        <w:rPr>
          <w:rFonts w:ascii="Arial" w:hAnsi="Arial" w:cs="Arial"/>
          <w:sz w:val="24"/>
          <w:szCs w:val="24"/>
        </w:rPr>
      </w:pPr>
      <w:r w:rsidRPr="00044C7F">
        <w:rPr>
          <w:rFonts w:ascii="Arial" w:hAnsi="Arial" w:cs="Arial"/>
          <w:b/>
          <w:sz w:val="24"/>
          <w:szCs w:val="24"/>
        </w:rPr>
        <w:t>Tabla 5. Resultado del Sistema de Alertas</w:t>
      </w:r>
    </w:p>
    <w:p w:rsidR="00C9157F" w:rsidRPr="00044C7F" w:rsidRDefault="00C9157F" w:rsidP="00C9157F">
      <w:pPr>
        <w:spacing w:before="100" w:beforeAutospacing="1" w:after="100" w:afterAutospacing="1" w:line="240" w:lineRule="auto"/>
        <w:jc w:val="center"/>
        <w:rPr>
          <w:rFonts w:ascii="Arial" w:hAnsi="Arial" w:cs="Arial"/>
          <w:sz w:val="24"/>
          <w:szCs w:val="24"/>
        </w:rPr>
      </w:pPr>
      <w:r w:rsidRPr="001E7FF4">
        <w:rPr>
          <w:rFonts w:ascii="Arial" w:hAnsi="Arial" w:cs="Arial"/>
          <w:noProof/>
          <w:sz w:val="24"/>
          <w:szCs w:val="24"/>
          <w:lang w:eastAsia="es-MX"/>
        </w:rPr>
        <w:drawing>
          <wp:inline distT="0" distB="0" distL="0" distR="0" wp14:anchorId="65F815E2" wp14:editId="796C6321">
            <wp:extent cx="4981575" cy="1157605"/>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4979035" cy="1157605"/>
                    </a:xfrm>
                    <a:prstGeom prst="rect">
                      <a:avLst/>
                    </a:prstGeom>
                    <a:noFill/>
                    <a:ln>
                      <a:noFill/>
                    </a:ln>
                  </pic:spPr>
                </pic:pic>
              </a:graphicData>
            </a:graphic>
          </wp:inline>
        </w:drawing>
      </w:r>
    </w:p>
    <w:p w:rsidR="00C9157F" w:rsidRDefault="00C9157F" w:rsidP="00C9157F">
      <w:pPr>
        <w:spacing w:before="100" w:beforeAutospacing="1" w:after="100" w:afterAutospacing="1" w:line="240" w:lineRule="auto"/>
        <w:jc w:val="both"/>
        <w:rPr>
          <w:rFonts w:ascii="Arial" w:hAnsi="Arial" w:cs="Arial"/>
          <w:sz w:val="24"/>
          <w:szCs w:val="24"/>
        </w:rPr>
      </w:pPr>
      <w:r w:rsidRPr="00044C7F">
        <w:rPr>
          <w:rFonts w:ascii="Arial" w:hAnsi="Arial" w:cs="Arial"/>
          <w:sz w:val="24"/>
          <w:szCs w:val="24"/>
        </w:rPr>
        <w:t xml:space="preserve">Aun y cuando se considera un incremento en el saldo de la deuda pública, el </w:t>
      </w:r>
      <w:r>
        <w:rPr>
          <w:rFonts w:ascii="Arial" w:hAnsi="Arial" w:cs="Arial"/>
          <w:sz w:val="24"/>
          <w:szCs w:val="24"/>
        </w:rPr>
        <w:t>e</w:t>
      </w:r>
      <w:r w:rsidRPr="00044C7F">
        <w:rPr>
          <w:rFonts w:ascii="Arial" w:hAnsi="Arial" w:cs="Arial"/>
          <w:sz w:val="24"/>
          <w:szCs w:val="24"/>
        </w:rPr>
        <w:t>stado podrá mantener en un nivel de endeudamiento sostenible, de conformidad con los techos establecidos para cada uno de indicadores que integran la evaluación del Sistema de Alertas, misma que determina los niveles de endeudamiento de las Entidades Federativas.</w:t>
      </w:r>
    </w:p>
    <w:p w:rsidR="00C9157F" w:rsidRDefault="00C9157F" w:rsidP="00C9157F">
      <w:pPr>
        <w:spacing w:before="100" w:beforeAutospacing="1" w:after="100" w:afterAutospacing="1" w:line="240" w:lineRule="auto"/>
        <w:jc w:val="both"/>
        <w:rPr>
          <w:rFonts w:ascii="Arial" w:hAnsi="Arial" w:cs="Arial"/>
          <w:sz w:val="24"/>
          <w:szCs w:val="24"/>
        </w:rPr>
      </w:pPr>
    </w:p>
    <w:p w:rsidR="00C9157F" w:rsidRPr="00BE296C" w:rsidRDefault="00C9157F" w:rsidP="00C9157F">
      <w:pPr>
        <w:spacing w:before="100" w:beforeAutospacing="1" w:after="100" w:afterAutospacing="1" w:line="240" w:lineRule="auto"/>
        <w:jc w:val="center"/>
        <w:rPr>
          <w:rFonts w:ascii="Arial" w:hAnsi="Arial" w:cs="Arial"/>
          <w:b/>
          <w:sz w:val="24"/>
          <w:szCs w:val="24"/>
        </w:rPr>
      </w:pPr>
      <w:r w:rsidRPr="002C23B0">
        <w:rPr>
          <w:rFonts w:ascii="Arial" w:hAnsi="Arial" w:cs="Arial"/>
          <w:b/>
          <w:sz w:val="24"/>
          <w:szCs w:val="24"/>
        </w:rPr>
        <w:t>Lic. Olga Rosas Moya</w:t>
      </w:r>
      <w:r w:rsidRPr="00376CFE">
        <w:rPr>
          <w:rFonts w:ascii="Arial" w:hAnsi="Arial" w:cs="Arial"/>
          <w:b/>
          <w:sz w:val="24"/>
          <w:szCs w:val="24"/>
        </w:rPr>
        <w:br/>
      </w:r>
      <w:r>
        <w:rPr>
          <w:rFonts w:ascii="Arial" w:hAnsi="Arial" w:cs="Arial"/>
          <w:b/>
          <w:sz w:val="24"/>
          <w:szCs w:val="24"/>
        </w:rPr>
        <w:t>Secretaria</w:t>
      </w:r>
      <w:r w:rsidRPr="00376CFE">
        <w:rPr>
          <w:rFonts w:ascii="Arial" w:hAnsi="Arial" w:cs="Arial"/>
          <w:b/>
          <w:sz w:val="24"/>
          <w:szCs w:val="24"/>
        </w:rPr>
        <w:t xml:space="preserve"> de Administración y Finanzas</w:t>
      </w:r>
    </w:p>
    <w:p w:rsidR="00C9157F" w:rsidRDefault="00C9157F" w:rsidP="00C9157F">
      <w:pPr>
        <w:spacing w:before="100" w:beforeAutospacing="1" w:after="100" w:afterAutospacing="1" w:line="240" w:lineRule="auto"/>
        <w:jc w:val="both"/>
        <w:rPr>
          <w:rFonts w:ascii="Arial" w:hAnsi="Arial" w:cs="Arial"/>
          <w:sz w:val="24"/>
          <w:szCs w:val="24"/>
        </w:rPr>
      </w:pPr>
    </w:p>
    <w:p w:rsidR="00C9157F" w:rsidRPr="00143F16" w:rsidRDefault="00C9157F" w:rsidP="00143F16">
      <w:pPr>
        <w:spacing w:before="100" w:beforeAutospacing="1" w:after="100" w:afterAutospacing="1" w:line="240" w:lineRule="auto"/>
        <w:rPr>
          <w:rFonts w:ascii="Arial" w:hAnsi="Arial" w:cs="Arial"/>
          <w:b/>
          <w:sz w:val="24"/>
        </w:rPr>
      </w:pPr>
      <w:bookmarkStart w:id="0" w:name="_GoBack"/>
      <w:bookmarkEnd w:id="0"/>
    </w:p>
    <w:sectPr w:rsidR="00C9157F" w:rsidRPr="00143F16" w:rsidSect="006C2ED6">
      <w:footerReference w:type="default" r:id="rId12"/>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F9" w:rsidRDefault="004D03F9" w:rsidP="006C2ED6">
      <w:pPr>
        <w:spacing w:after="0" w:line="240" w:lineRule="auto"/>
      </w:pPr>
      <w:r>
        <w:separator/>
      </w:r>
    </w:p>
  </w:endnote>
  <w:endnote w:type="continuationSeparator" w:id="0">
    <w:p w:rsidR="004D03F9" w:rsidRDefault="004D03F9" w:rsidP="006C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049"/>
      <w:docPartObj>
        <w:docPartGallery w:val="Page Numbers (Bottom of Page)"/>
        <w:docPartUnique/>
      </w:docPartObj>
    </w:sdtPr>
    <w:sdtEndPr>
      <w:rPr>
        <w:rFonts w:ascii="Arial" w:hAnsi="Arial" w:cs="Arial"/>
        <w:sz w:val="20"/>
      </w:rPr>
    </w:sdtEndPr>
    <w:sdtContent>
      <w:p w:rsidR="00CD356F" w:rsidRPr="006C2ED6" w:rsidRDefault="00CD356F">
        <w:pPr>
          <w:pStyle w:val="Piedepgina"/>
          <w:jc w:val="right"/>
          <w:rPr>
            <w:rFonts w:ascii="Arial" w:hAnsi="Arial" w:cs="Arial"/>
            <w:sz w:val="20"/>
          </w:rPr>
        </w:pPr>
        <w:r w:rsidRPr="006C2ED6">
          <w:rPr>
            <w:rFonts w:ascii="Arial" w:hAnsi="Arial" w:cs="Arial"/>
            <w:sz w:val="20"/>
          </w:rPr>
          <w:fldChar w:fldCharType="begin"/>
        </w:r>
        <w:r w:rsidRPr="006C2ED6">
          <w:rPr>
            <w:rFonts w:ascii="Arial" w:hAnsi="Arial" w:cs="Arial"/>
            <w:sz w:val="20"/>
          </w:rPr>
          <w:instrText xml:space="preserve"> PAGE   \* MERGEFORMAT </w:instrText>
        </w:r>
        <w:r w:rsidRPr="006C2ED6">
          <w:rPr>
            <w:rFonts w:ascii="Arial" w:hAnsi="Arial" w:cs="Arial"/>
            <w:sz w:val="20"/>
          </w:rPr>
          <w:fldChar w:fldCharType="separate"/>
        </w:r>
        <w:r w:rsidR="00C9157F">
          <w:rPr>
            <w:rFonts w:ascii="Arial" w:hAnsi="Arial" w:cs="Arial"/>
            <w:noProof/>
            <w:sz w:val="20"/>
          </w:rPr>
          <w:t>23</w:t>
        </w:r>
        <w:r w:rsidRPr="006C2ED6">
          <w:rPr>
            <w:rFonts w:ascii="Arial" w:hAnsi="Arial" w:cs="Arial"/>
            <w:sz w:val="20"/>
          </w:rPr>
          <w:fldChar w:fldCharType="end"/>
        </w:r>
      </w:p>
    </w:sdtContent>
  </w:sdt>
  <w:p w:rsidR="00CD356F" w:rsidRPr="006C2ED6" w:rsidRDefault="00CD356F">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F9" w:rsidRDefault="004D03F9" w:rsidP="006C2ED6">
      <w:pPr>
        <w:spacing w:after="0" w:line="240" w:lineRule="auto"/>
      </w:pPr>
      <w:r>
        <w:separator/>
      </w:r>
    </w:p>
  </w:footnote>
  <w:footnote w:type="continuationSeparator" w:id="0">
    <w:p w:rsidR="004D03F9" w:rsidRDefault="004D03F9" w:rsidP="006C2ED6">
      <w:pPr>
        <w:spacing w:after="0" w:line="240" w:lineRule="auto"/>
      </w:pPr>
      <w:r>
        <w:continuationSeparator/>
      </w:r>
    </w:p>
  </w:footnote>
  <w:footnote w:id="1">
    <w:p w:rsidR="00C9157F" w:rsidRPr="001E7FF4" w:rsidRDefault="00C9157F" w:rsidP="00C9157F">
      <w:pPr>
        <w:pStyle w:val="Textonotapie"/>
        <w:jc w:val="both"/>
        <w:rPr>
          <w:rFonts w:ascii="Arial" w:hAnsi="Arial" w:cs="Arial"/>
          <w:sz w:val="16"/>
          <w:szCs w:val="16"/>
        </w:rPr>
      </w:pPr>
      <w:r w:rsidRPr="001E7FF4">
        <w:rPr>
          <w:rStyle w:val="Refdenotaalpie"/>
          <w:rFonts w:ascii="Arial" w:hAnsi="Arial" w:cs="Arial"/>
          <w:sz w:val="16"/>
          <w:szCs w:val="16"/>
        </w:rPr>
        <w:footnoteRef/>
      </w:r>
      <w:r w:rsidRPr="001E7FF4">
        <w:rPr>
          <w:rFonts w:ascii="Arial" w:hAnsi="Arial" w:cs="Arial"/>
          <w:sz w:val="16"/>
          <w:szCs w:val="16"/>
        </w:rPr>
        <w:t xml:space="preserve"> </w:t>
      </w:r>
      <w:r w:rsidRPr="001E7FF4">
        <w:rPr>
          <w:rFonts w:ascii="Arial" w:eastAsia="Times New Roman" w:hAnsi="Arial" w:cs="Arial"/>
          <w:color w:val="000000"/>
          <w:sz w:val="16"/>
          <w:szCs w:val="16"/>
          <w:lang w:eastAsia="es-MX"/>
        </w:rPr>
        <w:t>Los porcentajes de participaciones afectados corresponden a los recursos depositados por la tesorería, por instrucción de las entidades o municipios, a un vehículo de pago (fideicomiso); así como los recursos que se depositan para pagar una obligación de acuerdo con un mandato o instrucción girado por dichos entes.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BFD"/>
    <w:multiLevelType w:val="hybridMultilevel"/>
    <w:tmpl w:val="70C822B0"/>
    <w:lvl w:ilvl="0" w:tplc="706660C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932011"/>
    <w:multiLevelType w:val="hybridMultilevel"/>
    <w:tmpl w:val="D20255F2"/>
    <w:lvl w:ilvl="0" w:tplc="CB700F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6"/>
    <w:rsid w:val="00006DA6"/>
    <w:rsid w:val="000176D8"/>
    <w:rsid w:val="00017BE0"/>
    <w:rsid w:val="00025EA1"/>
    <w:rsid w:val="000278D5"/>
    <w:rsid w:val="000329C2"/>
    <w:rsid w:val="00041960"/>
    <w:rsid w:val="00042F83"/>
    <w:rsid w:val="00077682"/>
    <w:rsid w:val="000839C4"/>
    <w:rsid w:val="0008558A"/>
    <w:rsid w:val="0008752F"/>
    <w:rsid w:val="000B5E76"/>
    <w:rsid w:val="000B66D6"/>
    <w:rsid w:val="000C5B3B"/>
    <w:rsid w:val="00104021"/>
    <w:rsid w:val="00127E2A"/>
    <w:rsid w:val="00134A61"/>
    <w:rsid w:val="00142299"/>
    <w:rsid w:val="00143F16"/>
    <w:rsid w:val="001522ED"/>
    <w:rsid w:val="00163CD1"/>
    <w:rsid w:val="001C3498"/>
    <w:rsid w:val="001E0D42"/>
    <w:rsid w:val="001F5499"/>
    <w:rsid w:val="0020196B"/>
    <w:rsid w:val="00207453"/>
    <w:rsid w:val="00236D15"/>
    <w:rsid w:val="00237969"/>
    <w:rsid w:val="00241540"/>
    <w:rsid w:val="002476DC"/>
    <w:rsid w:val="0026219E"/>
    <w:rsid w:val="00275047"/>
    <w:rsid w:val="002901DB"/>
    <w:rsid w:val="00293441"/>
    <w:rsid w:val="002C6147"/>
    <w:rsid w:val="002D6C7E"/>
    <w:rsid w:val="002D75C0"/>
    <w:rsid w:val="002D7B5A"/>
    <w:rsid w:val="002E4890"/>
    <w:rsid w:val="002E7E31"/>
    <w:rsid w:val="002F5FA7"/>
    <w:rsid w:val="00370C86"/>
    <w:rsid w:val="0037154B"/>
    <w:rsid w:val="003828F6"/>
    <w:rsid w:val="003B2C3A"/>
    <w:rsid w:val="003B7DA4"/>
    <w:rsid w:val="003C0334"/>
    <w:rsid w:val="003D4554"/>
    <w:rsid w:val="003E7314"/>
    <w:rsid w:val="003F5C9E"/>
    <w:rsid w:val="00413068"/>
    <w:rsid w:val="00446267"/>
    <w:rsid w:val="00450292"/>
    <w:rsid w:val="004607AE"/>
    <w:rsid w:val="00461DE6"/>
    <w:rsid w:val="0048631E"/>
    <w:rsid w:val="004C2487"/>
    <w:rsid w:val="004D03F9"/>
    <w:rsid w:val="004F23AB"/>
    <w:rsid w:val="00511235"/>
    <w:rsid w:val="005120ED"/>
    <w:rsid w:val="005123A2"/>
    <w:rsid w:val="00522DC1"/>
    <w:rsid w:val="00545B7A"/>
    <w:rsid w:val="00565C36"/>
    <w:rsid w:val="0057271B"/>
    <w:rsid w:val="005B24D1"/>
    <w:rsid w:val="005C3924"/>
    <w:rsid w:val="005F155F"/>
    <w:rsid w:val="005F5A31"/>
    <w:rsid w:val="0061210F"/>
    <w:rsid w:val="00660D9A"/>
    <w:rsid w:val="0067645F"/>
    <w:rsid w:val="00687A31"/>
    <w:rsid w:val="006B0EE2"/>
    <w:rsid w:val="006C2ED6"/>
    <w:rsid w:val="006C4DB0"/>
    <w:rsid w:val="006E6ECE"/>
    <w:rsid w:val="006F367A"/>
    <w:rsid w:val="006F58DD"/>
    <w:rsid w:val="0070083D"/>
    <w:rsid w:val="00717B72"/>
    <w:rsid w:val="00723223"/>
    <w:rsid w:val="00733FBC"/>
    <w:rsid w:val="007515D7"/>
    <w:rsid w:val="00771463"/>
    <w:rsid w:val="007B184A"/>
    <w:rsid w:val="007B1E86"/>
    <w:rsid w:val="007D45C3"/>
    <w:rsid w:val="007F1622"/>
    <w:rsid w:val="007F61CB"/>
    <w:rsid w:val="00805C01"/>
    <w:rsid w:val="0082149F"/>
    <w:rsid w:val="0082347C"/>
    <w:rsid w:val="008278CC"/>
    <w:rsid w:val="0086220C"/>
    <w:rsid w:val="008637D6"/>
    <w:rsid w:val="0087096F"/>
    <w:rsid w:val="00885F2A"/>
    <w:rsid w:val="00890F64"/>
    <w:rsid w:val="008A0E6A"/>
    <w:rsid w:val="008B3847"/>
    <w:rsid w:val="00900C8B"/>
    <w:rsid w:val="00950B65"/>
    <w:rsid w:val="00962813"/>
    <w:rsid w:val="00977C6F"/>
    <w:rsid w:val="0098104D"/>
    <w:rsid w:val="009A2FE3"/>
    <w:rsid w:val="009C6DEF"/>
    <w:rsid w:val="009C7629"/>
    <w:rsid w:val="009D51A6"/>
    <w:rsid w:val="009D5D82"/>
    <w:rsid w:val="009E2894"/>
    <w:rsid w:val="00A133AA"/>
    <w:rsid w:val="00A17DB0"/>
    <w:rsid w:val="00A2038D"/>
    <w:rsid w:val="00A532AE"/>
    <w:rsid w:val="00A65179"/>
    <w:rsid w:val="00A65DDB"/>
    <w:rsid w:val="00A72AB8"/>
    <w:rsid w:val="00A82439"/>
    <w:rsid w:val="00A83A96"/>
    <w:rsid w:val="00A91E90"/>
    <w:rsid w:val="00AD02B0"/>
    <w:rsid w:val="00AD522E"/>
    <w:rsid w:val="00AE0AA5"/>
    <w:rsid w:val="00AE1A20"/>
    <w:rsid w:val="00AE1A34"/>
    <w:rsid w:val="00AE755A"/>
    <w:rsid w:val="00AF6B4F"/>
    <w:rsid w:val="00B27337"/>
    <w:rsid w:val="00B429FD"/>
    <w:rsid w:val="00B45F8C"/>
    <w:rsid w:val="00B5067B"/>
    <w:rsid w:val="00B735ED"/>
    <w:rsid w:val="00B83779"/>
    <w:rsid w:val="00BA7645"/>
    <w:rsid w:val="00BB6582"/>
    <w:rsid w:val="00BB7F84"/>
    <w:rsid w:val="00BC35D2"/>
    <w:rsid w:val="00BE1152"/>
    <w:rsid w:val="00BE2FB5"/>
    <w:rsid w:val="00BE6414"/>
    <w:rsid w:val="00C04EE7"/>
    <w:rsid w:val="00C31464"/>
    <w:rsid w:val="00C32F1E"/>
    <w:rsid w:val="00C34736"/>
    <w:rsid w:val="00C5326E"/>
    <w:rsid w:val="00C80533"/>
    <w:rsid w:val="00C9157F"/>
    <w:rsid w:val="00C919BD"/>
    <w:rsid w:val="00C91DE1"/>
    <w:rsid w:val="00CB5717"/>
    <w:rsid w:val="00CC3618"/>
    <w:rsid w:val="00CD356F"/>
    <w:rsid w:val="00CF7C50"/>
    <w:rsid w:val="00D30D3B"/>
    <w:rsid w:val="00D415E5"/>
    <w:rsid w:val="00D5642A"/>
    <w:rsid w:val="00D77AB6"/>
    <w:rsid w:val="00D77C95"/>
    <w:rsid w:val="00DC4670"/>
    <w:rsid w:val="00DF1B28"/>
    <w:rsid w:val="00E13417"/>
    <w:rsid w:val="00E858DC"/>
    <w:rsid w:val="00E8773C"/>
    <w:rsid w:val="00E937F3"/>
    <w:rsid w:val="00E945EA"/>
    <w:rsid w:val="00EA4D68"/>
    <w:rsid w:val="00EA7824"/>
    <w:rsid w:val="00EE0DFA"/>
    <w:rsid w:val="00EE39F6"/>
    <w:rsid w:val="00EF0C4F"/>
    <w:rsid w:val="00EF342A"/>
    <w:rsid w:val="00EF4922"/>
    <w:rsid w:val="00F1763F"/>
    <w:rsid w:val="00F325A3"/>
    <w:rsid w:val="00F3399E"/>
    <w:rsid w:val="00F357A3"/>
    <w:rsid w:val="00F40BB7"/>
    <w:rsid w:val="00F65C59"/>
    <w:rsid w:val="00F70429"/>
    <w:rsid w:val="00F71E25"/>
    <w:rsid w:val="00F9068C"/>
    <w:rsid w:val="00FA1AB9"/>
    <w:rsid w:val="00FA30D5"/>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73CC"/>
  <w15:docId w15:val="{5AE0463D-387B-42E0-8E20-6EE6AC0C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Header Char Car Car Car Car Car,Header Char Car Car Car Car"/>
    <w:basedOn w:val="Normal"/>
    <w:link w:val="EncabezadoCar"/>
    <w:uiPriority w:val="99"/>
    <w:unhideWhenUsed/>
    <w:rsid w:val="006C2ED6"/>
    <w:pPr>
      <w:tabs>
        <w:tab w:val="center" w:pos="4419"/>
        <w:tab w:val="right" w:pos="8838"/>
      </w:tabs>
      <w:spacing w:after="0" w:line="240" w:lineRule="auto"/>
    </w:pPr>
  </w:style>
  <w:style w:type="character" w:customStyle="1" w:styleId="EncabezadoCar">
    <w:name w:val="Encabezado Car"/>
    <w:aliases w:val="Header Char Car Car,Header Char Car Car Car Car1,Header Char Car Car Car Car Car Car,Header Char Car Car Car Car Car1"/>
    <w:basedOn w:val="Fuentedeprrafopredeter"/>
    <w:link w:val="Encabezado"/>
    <w:uiPriority w:val="99"/>
    <w:rsid w:val="006C2ED6"/>
  </w:style>
  <w:style w:type="paragraph" w:styleId="Piedepgina">
    <w:name w:val="footer"/>
    <w:basedOn w:val="Normal"/>
    <w:link w:val="PiedepginaCar"/>
    <w:uiPriority w:val="99"/>
    <w:unhideWhenUsed/>
    <w:rsid w:val="006C2E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ED6"/>
  </w:style>
  <w:style w:type="paragraph" w:styleId="Textonotapie">
    <w:name w:val="footnote text"/>
    <w:basedOn w:val="Normal"/>
    <w:link w:val="TextonotapieCar"/>
    <w:uiPriority w:val="99"/>
    <w:semiHidden/>
    <w:unhideWhenUsed/>
    <w:rsid w:val="002476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6DC"/>
    <w:rPr>
      <w:sz w:val="20"/>
      <w:szCs w:val="20"/>
    </w:rPr>
  </w:style>
  <w:style w:type="character" w:styleId="Refdenotaalpie">
    <w:name w:val="footnote reference"/>
    <w:basedOn w:val="Fuentedeprrafopredeter"/>
    <w:uiPriority w:val="99"/>
    <w:semiHidden/>
    <w:unhideWhenUsed/>
    <w:rsid w:val="002476DC"/>
    <w:rPr>
      <w:vertAlign w:val="superscript"/>
    </w:rPr>
  </w:style>
  <w:style w:type="paragraph" w:styleId="Textodeglobo">
    <w:name w:val="Balloon Text"/>
    <w:basedOn w:val="Normal"/>
    <w:link w:val="TextodegloboCar"/>
    <w:uiPriority w:val="99"/>
    <w:semiHidden/>
    <w:unhideWhenUsed/>
    <w:rsid w:val="009D5D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D82"/>
    <w:rPr>
      <w:rFonts w:ascii="Tahoma" w:hAnsi="Tahoma" w:cs="Tahoma"/>
      <w:sz w:val="16"/>
      <w:szCs w:val="16"/>
    </w:rPr>
  </w:style>
  <w:style w:type="paragraph" w:styleId="Prrafodelista">
    <w:name w:val="List Paragraph"/>
    <w:basedOn w:val="Normal"/>
    <w:uiPriority w:val="34"/>
    <w:qFormat/>
    <w:rsid w:val="00D5642A"/>
    <w:pPr>
      <w:ind w:left="720"/>
      <w:contextualSpacing/>
    </w:pPr>
  </w:style>
  <w:style w:type="table" w:styleId="Tablaconcuadrcula">
    <w:name w:val="Table Grid"/>
    <w:basedOn w:val="Tablanormal"/>
    <w:uiPriority w:val="39"/>
    <w:rsid w:val="00C91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720E-09CE-4818-AD02-F36534B4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6977</Words>
  <Characters>38377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michel.echeverria</dc:creator>
  <cp:lastModifiedBy>Mildred Manzanilla</cp:lastModifiedBy>
  <cp:revision>3</cp:revision>
  <cp:lastPrinted>2019-06-26T15:28:00Z</cp:lastPrinted>
  <dcterms:created xsi:type="dcterms:W3CDTF">2019-07-10T18:10:00Z</dcterms:created>
  <dcterms:modified xsi:type="dcterms:W3CDTF">2020-01-27T18:42:00Z</dcterms:modified>
</cp:coreProperties>
</file>